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3D" w:rsidRDefault="0030693D" w:rsidP="00306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0693D" w:rsidRDefault="0030693D" w:rsidP="00306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выполнении плана мероприятий (</w:t>
      </w:r>
      <w:r w:rsidRPr="00AE17B5">
        <w:rPr>
          <w:rFonts w:ascii="Times New Roman" w:eastAsia="Times New Roman" w:hAnsi="Times New Roman" w:cs="Times New Roman"/>
          <w:sz w:val="28"/>
          <w:szCs w:val="28"/>
        </w:rPr>
        <w:t>«дорожной карты»)</w:t>
      </w:r>
      <w:r w:rsidRPr="00C23E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достижению установленных показателей эффективности функциониро</w:t>
      </w:r>
      <w:r w:rsidR="00621401">
        <w:rPr>
          <w:rFonts w:ascii="Times New Roman" w:eastAsia="Times New Roman" w:hAnsi="Times New Roman" w:cs="Times New Roman"/>
          <w:sz w:val="28"/>
          <w:szCs w:val="28"/>
        </w:rPr>
        <w:t>вания ТОСЭР «Нефтекамск» за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0693D" w:rsidRDefault="0030693D" w:rsidP="002F2D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254" w:rsidRPr="00F17668" w:rsidRDefault="008A6254" w:rsidP="008A6254">
      <w:pPr>
        <w:pStyle w:val="21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F17668">
        <w:rPr>
          <w:rFonts w:ascii="Times New Roman" w:hAnsi="Times New Roman" w:cs="Times New Roman"/>
          <w:sz w:val="28"/>
          <w:szCs w:val="28"/>
        </w:rPr>
        <w:t>На территории городског</w:t>
      </w:r>
      <w:r>
        <w:rPr>
          <w:rFonts w:ascii="Times New Roman" w:hAnsi="Times New Roman" w:cs="Times New Roman"/>
          <w:sz w:val="28"/>
          <w:szCs w:val="28"/>
        </w:rPr>
        <w:t>о округа с 12 февраля 2019 года</w:t>
      </w:r>
      <w:r w:rsidRPr="00F17668">
        <w:rPr>
          <w:rFonts w:ascii="Times New Roman" w:hAnsi="Times New Roman" w:cs="Times New Roman"/>
          <w:sz w:val="28"/>
          <w:szCs w:val="28"/>
        </w:rPr>
        <w:t xml:space="preserve"> действует особый правовой режим осуществления предпринимательской деятельности при реализации резидентами инвестиционных проектов (ТОСЭР).</w:t>
      </w:r>
    </w:p>
    <w:p w:rsidR="008A6254" w:rsidRPr="00903EC9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17668">
        <w:rPr>
          <w:rFonts w:ascii="Times New Roman" w:hAnsi="Times New Roman"/>
          <w:sz w:val="28"/>
          <w:szCs w:val="28"/>
          <w:lang w:val="be-BY"/>
        </w:rPr>
        <w:t xml:space="preserve">По состоянию на </w:t>
      </w:r>
      <w:r>
        <w:rPr>
          <w:rFonts w:ascii="Times New Roman" w:hAnsi="Times New Roman"/>
          <w:sz w:val="28"/>
          <w:szCs w:val="28"/>
          <w:lang w:val="be-BY"/>
        </w:rPr>
        <w:t>12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феврал</w:t>
      </w:r>
      <w:r w:rsidRPr="00F17668">
        <w:rPr>
          <w:rFonts w:ascii="Times New Roman" w:hAnsi="Times New Roman"/>
          <w:sz w:val="28"/>
          <w:szCs w:val="28"/>
          <w:lang w:val="be-BY"/>
        </w:rPr>
        <w:t>я</w:t>
      </w:r>
      <w:r>
        <w:rPr>
          <w:rFonts w:ascii="Times New Roman" w:hAnsi="Times New Roman"/>
          <w:sz w:val="28"/>
          <w:szCs w:val="28"/>
          <w:lang w:val="be-BY"/>
        </w:rPr>
        <w:t xml:space="preserve"> 2021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 года на ТОСЭР «Нефтекамск» зарегистрировано </w:t>
      </w:r>
      <w:r w:rsidRPr="00903EC9">
        <w:rPr>
          <w:rFonts w:ascii="Times New Roman" w:hAnsi="Times New Roman"/>
          <w:sz w:val="28"/>
          <w:szCs w:val="28"/>
          <w:lang w:val="be-BY"/>
        </w:rPr>
        <w:t xml:space="preserve">10 резидентов: </w:t>
      </w:r>
    </w:p>
    <w:p w:rsidR="008A6254" w:rsidRPr="00F17668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1)</w:t>
      </w:r>
      <w:r w:rsidR="00903EC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ООО ЗИК «Интеркуб»; </w:t>
      </w:r>
    </w:p>
    <w:p w:rsidR="008A6254" w:rsidRPr="00F17668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2)</w:t>
      </w:r>
      <w:r w:rsidR="00903EC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>ООО «Башлайт»;</w:t>
      </w:r>
    </w:p>
    <w:p w:rsidR="008A6254" w:rsidRPr="00F17668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3)</w:t>
      </w:r>
      <w:r w:rsidR="00903EC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ООО «НКМЗ-СТ»; </w:t>
      </w:r>
    </w:p>
    <w:p w:rsidR="008A6254" w:rsidRPr="00F17668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4)</w:t>
      </w:r>
      <w:r w:rsidR="00903EC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ООО «Вита Кардио»; </w:t>
      </w:r>
    </w:p>
    <w:p w:rsidR="008A6254" w:rsidRPr="00F17668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5)</w:t>
      </w:r>
      <w:r w:rsidR="00903EC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ООО «Нефтекамский завод мобильных зданий»; </w:t>
      </w:r>
    </w:p>
    <w:p w:rsidR="008A6254" w:rsidRPr="00F17668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6)</w:t>
      </w:r>
      <w:r w:rsidR="00903EC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>ООО «Метротест»;</w:t>
      </w:r>
    </w:p>
    <w:p w:rsidR="008A6254" w:rsidRPr="00F17668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7)</w:t>
      </w:r>
      <w:r w:rsidR="00903EC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ООО </w:t>
      </w:r>
      <w:r w:rsidRPr="00F17668">
        <w:rPr>
          <w:rFonts w:ascii="Times New Roman" w:hAnsi="Times New Roman"/>
          <w:sz w:val="28"/>
          <w:szCs w:val="28"/>
        </w:rPr>
        <w:t>«Нефтекамская мебельная компания»;</w:t>
      </w:r>
    </w:p>
    <w:p w:rsidR="008A6254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903EC9">
        <w:rPr>
          <w:rFonts w:ascii="Times New Roman" w:hAnsi="Times New Roman"/>
          <w:sz w:val="28"/>
          <w:szCs w:val="28"/>
        </w:rPr>
        <w:t xml:space="preserve"> </w:t>
      </w:r>
      <w:r w:rsidRPr="00F17668">
        <w:rPr>
          <w:rFonts w:ascii="Times New Roman" w:hAnsi="Times New Roman"/>
          <w:sz w:val="28"/>
          <w:szCs w:val="28"/>
        </w:rPr>
        <w:t>ООО «Производственная компания Импульс»</w:t>
      </w:r>
      <w:r>
        <w:rPr>
          <w:rFonts w:ascii="Times New Roman" w:hAnsi="Times New Roman"/>
          <w:sz w:val="28"/>
          <w:szCs w:val="28"/>
        </w:rPr>
        <w:t>;</w:t>
      </w:r>
    </w:p>
    <w:p w:rsidR="008A6254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903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Акополимер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8A6254" w:rsidRDefault="008A6254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903EC9">
        <w:rPr>
          <w:rFonts w:ascii="Times New Roman" w:hAnsi="Times New Roman"/>
          <w:sz w:val="28"/>
          <w:szCs w:val="28"/>
        </w:rPr>
        <w:t xml:space="preserve"> </w:t>
      </w:r>
      <w:r w:rsidRPr="00B50F9D">
        <w:rPr>
          <w:rFonts w:ascii="Times New Roman" w:hAnsi="Times New Roman"/>
          <w:sz w:val="28"/>
          <w:szCs w:val="28"/>
        </w:rPr>
        <w:t>ООО «Медика плю</w:t>
      </w:r>
      <w:r>
        <w:rPr>
          <w:rFonts w:ascii="Times New Roman" w:hAnsi="Times New Roman"/>
          <w:sz w:val="28"/>
          <w:szCs w:val="28"/>
        </w:rPr>
        <w:t>с»</w:t>
      </w:r>
      <w:r w:rsidRPr="00B50F9D">
        <w:rPr>
          <w:rFonts w:ascii="Times New Roman" w:hAnsi="Times New Roman"/>
          <w:sz w:val="28"/>
          <w:szCs w:val="28"/>
        </w:rPr>
        <w:t>.</w:t>
      </w:r>
      <w:r w:rsidRPr="00F17668">
        <w:rPr>
          <w:rFonts w:ascii="Times New Roman" w:hAnsi="Times New Roman"/>
          <w:sz w:val="28"/>
          <w:szCs w:val="28"/>
        </w:rPr>
        <w:t xml:space="preserve"> </w:t>
      </w:r>
    </w:p>
    <w:p w:rsidR="00903EC9" w:rsidRPr="00F17668" w:rsidRDefault="00903EC9" w:rsidP="008A62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0957" w:rsidRDefault="00F20957" w:rsidP="00F2095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7668">
        <w:rPr>
          <w:rFonts w:ascii="Times New Roman" w:eastAsia="Times New Roman" w:hAnsi="Times New Roman"/>
          <w:sz w:val="28"/>
          <w:szCs w:val="28"/>
        </w:rPr>
        <w:t xml:space="preserve">С начала деятельности резидентов объем капитальных вложений составил порядка </w:t>
      </w:r>
      <w:r w:rsidRPr="00903EC9">
        <w:rPr>
          <w:rFonts w:ascii="Times New Roman" w:eastAsia="Times New Roman" w:hAnsi="Times New Roman"/>
          <w:sz w:val="28"/>
          <w:szCs w:val="28"/>
        </w:rPr>
        <w:t>311,7 млн. рублей, создано 693 новых рабочих места.</w:t>
      </w:r>
    </w:p>
    <w:p w:rsidR="00903EC9" w:rsidRPr="00903EC9" w:rsidRDefault="00903EC9" w:rsidP="00F2095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17967" w:rsidRPr="006C7D4D" w:rsidRDefault="00217967" w:rsidP="00C91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9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2020 года показатели, </w:t>
      </w:r>
      <w:r w:rsidRPr="00903EC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установленные</w:t>
      </w:r>
      <w:r w:rsidRPr="006C7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соглашений </w:t>
      </w:r>
      <w:r w:rsidR="00C91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C7D4D">
        <w:rPr>
          <w:rFonts w:ascii="Times New Roman" w:hAnsi="Times New Roman" w:cs="Times New Roman"/>
          <w:sz w:val="28"/>
          <w:szCs w:val="28"/>
          <w:shd w:val="clear" w:color="auto" w:fill="FFFFFF"/>
        </w:rPr>
        <w:t>о создании ТОСЭР «Нефтекамск» достигнуты на уровне:</w:t>
      </w:r>
    </w:p>
    <w:tbl>
      <w:tblPr>
        <w:tblStyle w:val="ad"/>
        <w:tblW w:w="0" w:type="auto"/>
        <w:tblLook w:val="04A0"/>
      </w:tblPr>
      <w:tblGrid>
        <w:gridCol w:w="2686"/>
        <w:gridCol w:w="1238"/>
        <w:gridCol w:w="2143"/>
        <w:gridCol w:w="1573"/>
        <w:gridCol w:w="1930"/>
      </w:tblGrid>
      <w:tr w:rsidR="00217967" w:rsidRPr="00C9195A" w:rsidTr="00217967">
        <w:tc>
          <w:tcPr>
            <w:tcW w:w="2686" w:type="dxa"/>
            <w:vMerge w:val="restart"/>
          </w:tcPr>
          <w:p w:rsidR="00217967" w:rsidRPr="00C9195A" w:rsidRDefault="00217967" w:rsidP="00903EC9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17967" w:rsidRPr="00C9195A" w:rsidRDefault="00217967" w:rsidP="00903EC9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Наименование показателя</w:t>
            </w:r>
          </w:p>
        </w:tc>
        <w:tc>
          <w:tcPr>
            <w:tcW w:w="3381" w:type="dxa"/>
            <w:gridSpan w:val="2"/>
          </w:tcPr>
          <w:p w:rsidR="00217967" w:rsidRPr="00C9195A" w:rsidRDefault="00217967" w:rsidP="0021796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2020 год</w:t>
            </w:r>
          </w:p>
        </w:tc>
        <w:tc>
          <w:tcPr>
            <w:tcW w:w="3503" w:type="dxa"/>
            <w:gridSpan w:val="2"/>
          </w:tcPr>
          <w:p w:rsidR="00217967" w:rsidRPr="00C9195A" w:rsidRDefault="00217967" w:rsidP="0021796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План 2021</w:t>
            </w:r>
            <w:r w:rsidR="00903EC9" w:rsidRPr="00C91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год</w:t>
            </w:r>
          </w:p>
        </w:tc>
      </w:tr>
      <w:tr w:rsidR="00217967" w:rsidRPr="00C9195A" w:rsidTr="00217967">
        <w:tc>
          <w:tcPr>
            <w:tcW w:w="2686" w:type="dxa"/>
            <w:vMerge/>
          </w:tcPr>
          <w:p w:rsidR="00217967" w:rsidRPr="00C9195A" w:rsidRDefault="00217967" w:rsidP="00903EC9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38" w:type="dxa"/>
          </w:tcPr>
          <w:p w:rsidR="00217967" w:rsidRPr="00C9195A" w:rsidRDefault="00217967" w:rsidP="00903EC9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План на </w:t>
            </w:r>
            <w:r w:rsidR="00903EC9" w:rsidRPr="00C9195A"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19-</w:t>
            </w:r>
            <w:r w:rsidR="00903EC9" w:rsidRPr="00C9195A"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20 год</w:t>
            </w:r>
          </w:p>
        </w:tc>
        <w:tc>
          <w:tcPr>
            <w:tcW w:w="2143" w:type="dxa"/>
          </w:tcPr>
          <w:p w:rsidR="00217967" w:rsidRPr="00C9195A" w:rsidRDefault="00217967" w:rsidP="00903EC9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Факт. исполнение</w:t>
            </w:r>
          </w:p>
        </w:tc>
        <w:tc>
          <w:tcPr>
            <w:tcW w:w="1573" w:type="dxa"/>
          </w:tcPr>
          <w:p w:rsidR="00217967" w:rsidRPr="00C9195A" w:rsidRDefault="00217967" w:rsidP="00903EC9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2020 год</w:t>
            </w:r>
          </w:p>
        </w:tc>
        <w:tc>
          <w:tcPr>
            <w:tcW w:w="1930" w:type="dxa"/>
          </w:tcPr>
          <w:p w:rsidR="00217967" w:rsidRPr="00C9195A" w:rsidRDefault="00217967" w:rsidP="00903EC9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Нарастающим итогом</w:t>
            </w:r>
          </w:p>
        </w:tc>
      </w:tr>
      <w:tr w:rsidR="00217967" w:rsidRPr="00C9195A" w:rsidTr="00C9195A">
        <w:trPr>
          <w:trHeight w:val="569"/>
        </w:trPr>
        <w:tc>
          <w:tcPr>
            <w:tcW w:w="2686" w:type="dxa"/>
          </w:tcPr>
          <w:p w:rsidR="00217967" w:rsidRPr="00C9195A" w:rsidRDefault="00217967" w:rsidP="00217967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Количество резидентов, ед</w:t>
            </w:r>
          </w:p>
        </w:tc>
        <w:tc>
          <w:tcPr>
            <w:tcW w:w="1238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color w:val="000000"/>
                <w:kern w:val="24"/>
              </w:rPr>
              <w:t>10</w:t>
            </w:r>
          </w:p>
        </w:tc>
        <w:tc>
          <w:tcPr>
            <w:tcW w:w="2143" w:type="dxa"/>
            <w:vAlign w:val="center"/>
          </w:tcPr>
          <w:p w:rsidR="00217967" w:rsidRPr="00C9195A" w:rsidRDefault="00217967" w:rsidP="00903EC9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color w:val="000000"/>
                <w:kern w:val="24"/>
              </w:rPr>
              <w:t xml:space="preserve">10 (100%) </w:t>
            </w:r>
          </w:p>
        </w:tc>
        <w:tc>
          <w:tcPr>
            <w:tcW w:w="1573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rFonts w:eastAsiaTheme="minorEastAsia"/>
                <w:color w:val="000000"/>
                <w:kern w:val="24"/>
              </w:rPr>
              <w:t>5</w:t>
            </w:r>
          </w:p>
        </w:tc>
        <w:tc>
          <w:tcPr>
            <w:tcW w:w="1930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rFonts w:eastAsiaTheme="minorEastAsia"/>
                <w:color w:val="000000"/>
                <w:kern w:val="24"/>
              </w:rPr>
              <w:t>15</w:t>
            </w:r>
          </w:p>
        </w:tc>
      </w:tr>
      <w:tr w:rsidR="00217967" w:rsidRPr="00C9195A" w:rsidTr="00217967">
        <w:tc>
          <w:tcPr>
            <w:tcW w:w="2686" w:type="dxa"/>
          </w:tcPr>
          <w:p w:rsidR="00217967" w:rsidRPr="00C9195A" w:rsidRDefault="00217967" w:rsidP="00217967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Количество рабочих мест, созданных резидентами ТОР, ед.</w:t>
            </w:r>
          </w:p>
        </w:tc>
        <w:tc>
          <w:tcPr>
            <w:tcW w:w="1238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color w:val="000000"/>
                <w:kern w:val="24"/>
              </w:rPr>
              <w:t>144</w:t>
            </w:r>
          </w:p>
        </w:tc>
        <w:tc>
          <w:tcPr>
            <w:tcW w:w="2143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color w:val="000000"/>
                <w:kern w:val="24"/>
              </w:rPr>
              <w:t>693 (481%)</w:t>
            </w:r>
          </w:p>
        </w:tc>
        <w:tc>
          <w:tcPr>
            <w:tcW w:w="1573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rFonts w:eastAsiaTheme="minorEastAsia"/>
                <w:color w:val="000000"/>
                <w:kern w:val="24"/>
              </w:rPr>
              <w:t>200</w:t>
            </w:r>
          </w:p>
        </w:tc>
        <w:tc>
          <w:tcPr>
            <w:tcW w:w="1930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rFonts w:eastAsiaTheme="minorEastAsia"/>
                <w:color w:val="000000"/>
                <w:kern w:val="24"/>
              </w:rPr>
              <w:t>344</w:t>
            </w:r>
          </w:p>
        </w:tc>
      </w:tr>
      <w:tr w:rsidR="00217967" w:rsidRPr="00C9195A" w:rsidTr="00217967">
        <w:tc>
          <w:tcPr>
            <w:tcW w:w="2686" w:type="dxa"/>
          </w:tcPr>
          <w:p w:rsidR="00217967" w:rsidRPr="00C9195A" w:rsidRDefault="00217967" w:rsidP="00217967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Объем инвестиций, млн.руб</w:t>
            </w:r>
          </w:p>
        </w:tc>
        <w:tc>
          <w:tcPr>
            <w:tcW w:w="1238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color w:val="000000"/>
                <w:kern w:val="24"/>
              </w:rPr>
              <w:t>247</w:t>
            </w:r>
          </w:p>
        </w:tc>
        <w:tc>
          <w:tcPr>
            <w:tcW w:w="2143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color w:val="000000"/>
                <w:kern w:val="24"/>
              </w:rPr>
              <w:t>311,7 (126%)</w:t>
            </w:r>
          </w:p>
        </w:tc>
        <w:tc>
          <w:tcPr>
            <w:tcW w:w="1573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rFonts w:eastAsiaTheme="minorEastAsia"/>
                <w:color w:val="000000"/>
                <w:kern w:val="24"/>
              </w:rPr>
              <w:t>287</w:t>
            </w:r>
          </w:p>
        </w:tc>
        <w:tc>
          <w:tcPr>
            <w:tcW w:w="1930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rFonts w:eastAsiaTheme="minorEastAsia"/>
                <w:color w:val="000000"/>
                <w:kern w:val="24"/>
              </w:rPr>
              <w:t>534</w:t>
            </w:r>
          </w:p>
        </w:tc>
      </w:tr>
      <w:tr w:rsidR="00217967" w:rsidRPr="00C9195A" w:rsidTr="00217967">
        <w:tc>
          <w:tcPr>
            <w:tcW w:w="2686" w:type="dxa"/>
          </w:tcPr>
          <w:p w:rsidR="00217967" w:rsidRPr="00C9195A" w:rsidRDefault="00217967" w:rsidP="00217967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9195A">
              <w:rPr>
                <w:rFonts w:ascii="Times New Roman" w:hAnsi="Times New Roman"/>
                <w:sz w:val="24"/>
                <w:szCs w:val="24"/>
                <w:lang w:val="be-BY"/>
              </w:rPr>
              <w:t>Объем выручки от продаж товаров, работ, услуг, млн.руб.</w:t>
            </w:r>
          </w:p>
        </w:tc>
        <w:tc>
          <w:tcPr>
            <w:tcW w:w="1238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color w:val="000000"/>
                <w:kern w:val="24"/>
              </w:rPr>
              <w:t>1021,0</w:t>
            </w:r>
          </w:p>
        </w:tc>
        <w:tc>
          <w:tcPr>
            <w:tcW w:w="2143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color w:val="000000"/>
                <w:kern w:val="24"/>
              </w:rPr>
              <w:t xml:space="preserve">1792,4(175%) </w:t>
            </w:r>
          </w:p>
        </w:tc>
        <w:tc>
          <w:tcPr>
            <w:tcW w:w="1573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rFonts w:eastAsiaTheme="minorEastAsia"/>
                <w:color w:val="000000"/>
                <w:kern w:val="24"/>
              </w:rPr>
              <w:t>1 995</w:t>
            </w:r>
          </w:p>
        </w:tc>
        <w:tc>
          <w:tcPr>
            <w:tcW w:w="1930" w:type="dxa"/>
            <w:vAlign w:val="center"/>
          </w:tcPr>
          <w:p w:rsidR="00217967" w:rsidRPr="00C9195A" w:rsidRDefault="00217967" w:rsidP="00217967">
            <w:pPr>
              <w:pStyle w:val="a9"/>
              <w:spacing w:before="20" w:beforeAutospacing="0" w:after="20" w:afterAutospacing="0"/>
              <w:jc w:val="center"/>
              <w:textAlignment w:val="bottom"/>
            </w:pPr>
            <w:r w:rsidRPr="00C9195A">
              <w:rPr>
                <w:rFonts w:eastAsiaTheme="minorEastAsia"/>
                <w:color w:val="000000"/>
                <w:kern w:val="24"/>
              </w:rPr>
              <w:t>3 016</w:t>
            </w:r>
          </w:p>
        </w:tc>
      </w:tr>
    </w:tbl>
    <w:p w:rsidR="00145AF1" w:rsidRPr="00F33AB7" w:rsidRDefault="00145AF1" w:rsidP="002F2DB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780C">
        <w:rPr>
          <w:rFonts w:ascii="Times New Roman" w:hAnsi="Times New Roman" w:cs="Times New Roman"/>
          <w:sz w:val="28"/>
          <w:szCs w:val="28"/>
        </w:rPr>
        <w:t>С целью дальнейшего привлечения резидентов ТОСЭР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EC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4654C4">
        <w:rPr>
          <w:rFonts w:ascii="Times New Roman" w:hAnsi="Times New Roman" w:cs="Times New Roman"/>
          <w:sz w:val="28"/>
          <w:szCs w:val="28"/>
        </w:rPr>
        <w:t>и использова</w:t>
      </w:r>
      <w:r w:rsidR="00621401">
        <w:rPr>
          <w:rFonts w:ascii="Times New Roman" w:hAnsi="Times New Roman" w:cs="Times New Roman"/>
          <w:sz w:val="28"/>
          <w:szCs w:val="28"/>
        </w:rPr>
        <w:t>ния мер поддержки некоммерческих</w:t>
      </w:r>
      <w:r w:rsidRPr="004654C4">
        <w:rPr>
          <w:rFonts w:ascii="Times New Roman" w:hAnsi="Times New Roman" w:cs="Times New Roman"/>
          <w:sz w:val="28"/>
          <w:szCs w:val="28"/>
        </w:rPr>
        <w:t xml:space="preserve"> </w:t>
      </w:r>
      <w:r w:rsidR="00621401">
        <w:rPr>
          <w:rFonts w:ascii="Times New Roman" w:hAnsi="Times New Roman" w:cs="Times New Roman"/>
          <w:sz w:val="28"/>
          <w:szCs w:val="28"/>
        </w:rPr>
        <w:t>организаций</w:t>
      </w:r>
      <w:r w:rsidRPr="004654C4">
        <w:rPr>
          <w:rFonts w:ascii="Times New Roman" w:hAnsi="Times New Roman" w:cs="Times New Roman"/>
          <w:sz w:val="28"/>
          <w:szCs w:val="28"/>
        </w:rPr>
        <w:t xml:space="preserve"> «Фонд развития моногородов»</w:t>
      </w:r>
      <w:r w:rsidR="00EF7C51">
        <w:rPr>
          <w:rFonts w:ascii="Times New Roman" w:hAnsi="Times New Roman" w:cs="Times New Roman"/>
          <w:sz w:val="28"/>
          <w:szCs w:val="28"/>
        </w:rPr>
        <w:t xml:space="preserve"> </w:t>
      </w:r>
      <w:r w:rsidR="00621401">
        <w:rPr>
          <w:rFonts w:ascii="Times New Roman" w:hAnsi="Times New Roman" w:cs="Times New Roman"/>
          <w:sz w:val="28"/>
          <w:szCs w:val="28"/>
        </w:rPr>
        <w:t>(</w:t>
      </w:r>
      <w:r w:rsidR="00A81F57">
        <w:rPr>
          <w:rFonts w:ascii="Times New Roman" w:hAnsi="Times New Roman" w:cs="Times New Roman"/>
          <w:sz w:val="28"/>
          <w:szCs w:val="28"/>
        </w:rPr>
        <w:t>закрыт в январе 2021</w:t>
      </w:r>
      <w:r w:rsidR="00621401">
        <w:rPr>
          <w:rFonts w:ascii="Times New Roman" w:hAnsi="Times New Roman" w:cs="Times New Roman"/>
          <w:sz w:val="28"/>
          <w:szCs w:val="28"/>
        </w:rPr>
        <w:t xml:space="preserve"> года), «</w:t>
      </w:r>
      <w:r w:rsidR="00EF7C51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 w:rsidR="00621401">
        <w:rPr>
          <w:rFonts w:ascii="Times New Roman" w:hAnsi="Times New Roman" w:cs="Times New Roman"/>
          <w:sz w:val="28"/>
          <w:szCs w:val="28"/>
        </w:rPr>
        <w:t>»</w:t>
      </w:r>
      <w:r w:rsidR="00A81F57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EF7C51">
        <w:rPr>
          <w:rFonts w:ascii="Times New Roman" w:hAnsi="Times New Roman" w:cs="Times New Roman"/>
          <w:sz w:val="28"/>
          <w:szCs w:val="28"/>
        </w:rPr>
        <w:t xml:space="preserve"> в 2020</w:t>
      </w:r>
      <w:r w:rsidRPr="004654C4">
        <w:rPr>
          <w:rFonts w:ascii="Times New Roman" w:hAnsi="Times New Roman" w:cs="Times New Roman"/>
          <w:sz w:val="28"/>
          <w:szCs w:val="28"/>
        </w:rPr>
        <w:t xml:space="preserve"> году администрацией городского округа</w:t>
      </w:r>
      <w:r w:rsidR="00EF7C51">
        <w:rPr>
          <w:rFonts w:ascii="Times New Roman" w:hAnsi="Times New Roman" w:cs="Times New Roman"/>
          <w:sz w:val="28"/>
          <w:szCs w:val="28"/>
        </w:rPr>
        <w:t xml:space="preserve"> город Нефтекамск проведено порядка 7</w:t>
      </w:r>
      <w:r w:rsidRPr="00145AF1">
        <w:rPr>
          <w:rFonts w:ascii="Times New Roman" w:hAnsi="Times New Roman" w:cs="Times New Roman"/>
          <w:sz w:val="28"/>
          <w:szCs w:val="28"/>
        </w:rPr>
        <w:t>0 мероприятий (семинаров, круглых столов)</w:t>
      </w:r>
      <w:r w:rsidR="00EF7C51">
        <w:rPr>
          <w:rFonts w:ascii="Times New Roman" w:hAnsi="Times New Roman" w:cs="Times New Roman"/>
          <w:sz w:val="28"/>
          <w:szCs w:val="28"/>
        </w:rPr>
        <w:t>, из них 41 совещание</w:t>
      </w:r>
      <w:r w:rsidR="00EF7C51" w:rsidRPr="00F17668">
        <w:rPr>
          <w:rFonts w:ascii="Times New Roman" w:hAnsi="Times New Roman" w:cs="Times New Roman"/>
          <w:sz w:val="28"/>
          <w:szCs w:val="28"/>
        </w:rPr>
        <w:t xml:space="preserve"> в формате «Предпринимательский час</w:t>
      </w:r>
      <w:r w:rsidR="00EF7C51">
        <w:rPr>
          <w:rFonts w:ascii="Times New Roman" w:hAnsi="Times New Roman" w:cs="Times New Roman"/>
          <w:sz w:val="28"/>
          <w:szCs w:val="28"/>
        </w:rPr>
        <w:t xml:space="preserve">», </w:t>
      </w:r>
      <w:r w:rsidR="00903E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F7C5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F7C5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F7C51">
        <w:rPr>
          <w:rFonts w:ascii="Times New Roman" w:hAnsi="Times New Roman" w:cs="Times New Roman"/>
          <w:sz w:val="28"/>
          <w:szCs w:val="28"/>
        </w:rPr>
        <w:t xml:space="preserve"> которых рассмотрено </w:t>
      </w:r>
      <w:r w:rsidR="00A81F57">
        <w:rPr>
          <w:rFonts w:ascii="Times New Roman" w:hAnsi="Times New Roman" w:cs="Times New Roman"/>
          <w:sz w:val="28"/>
          <w:szCs w:val="28"/>
        </w:rPr>
        <w:t>57</w:t>
      </w:r>
      <w:r w:rsidR="00EF7C51" w:rsidRPr="00F17668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3AB7">
        <w:rPr>
          <w:rFonts w:ascii="Times New Roman" w:hAnsi="Times New Roman" w:cs="Times New Roman"/>
          <w:sz w:val="28"/>
          <w:szCs w:val="28"/>
        </w:rPr>
        <w:t>Информирование о возможностях и льготах для резидентов ТОСЭР «Нефтекамск», о мерах поддержки НКО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AB7" w:rsidRPr="00F33AB7">
        <w:rPr>
          <w:rFonts w:ascii="Times New Roman" w:hAnsi="Times New Roman" w:cs="Times New Roman"/>
          <w:sz w:val="28"/>
          <w:szCs w:val="28"/>
        </w:rPr>
        <w:t>также через средства массовой информации</w:t>
      </w:r>
      <w:r w:rsidR="00F33AB7">
        <w:rPr>
          <w:rFonts w:ascii="Times New Roman" w:hAnsi="Times New Roman" w:cs="Times New Roman"/>
          <w:sz w:val="28"/>
          <w:szCs w:val="28"/>
        </w:rPr>
        <w:t>.</w:t>
      </w:r>
    </w:p>
    <w:p w:rsidR="000C37BD" w:rsidRPr="00903EC9" w:rsidRDefault="000C37BD" w:rsidP="000C37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9">
        <w:rPr>
          <w:rFonts w:ascii="Times New Roman" w:hAnsi="Times New Roman" w:cs="Times New Roman"/>
          <w:sz w:val="28"/>
          <w:szCs w:val="28"/>
        </w:rPr>
        <w:lastRenderedPageBreak/>
        <w:t>В качестве дополнительных м</w:t>
      </w:r>
      <w:r w:rsidR="00EF7C51" w:rsidRPr="00903EC9">
        <w:rPr>
          <w:rFonts w:ascii="Times New Roman" w:hAnsi="Times New Roman" w:cs="Times New Roman"/>
          <w:sz w:val="28"/>
          <w:szCs w:val="28"/>
        </w:rPr>
        <w:t>ер привлечения инвесторов в 2020</w:t>
      </w:r>
      <w:r w:rsidRPr="00903EC9">
        <w:rPr>
          <w:rFonts w:ascii="Times New Roman" w:hAnsi="Times New Roman" w:cs="Times New Roman"/>
          <w:sz w:val="28"/>
          <w:szCs w:val="28"/>
        </w:rPr>
        <w:t xml:space="preserve"> году проведены следующие мероприятия:</w:t>
      </w:r>
    </w:p>
    <w:p w:rsidR="000C37BD" w:rsidRPr="00254A8E" w:rsidRDefault="00820374" w:rsidP="000C37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нормативно-правовых актов, регулирующих</w:t>
      </w:r>
      <w:r w:rsidR="000C37BD" w:rsidRPr="00254A8E">
        <w:rPr>
          <w:rFonts w:ascii="Times New Roman" w:hAnsi="Times New Roman" w:cs="Times New Roman"/>
          <w:sz w:val="28"/>
          <w:szCs w:val="28"/>
        </w:rPr>
        <w:t xml:space="preserve"> фун</w:t>
      </w:r>
      <w:r>
        <w:rPr>
          <w:rFonts w:ascii="Times New Roman" w:hAnsi="Times New Roman" w:cs="Times New Roman"/>
          <w:sz w:val="28"/>
          <w:szCs w:val="28"/>
        </w:rPr>
        <w:t>кционирование ТОСЭР «Нефтекамск</w:t>
      </w:r>
      <w:r w:rsidR="000C37BD" w:rsidRPr="00254A8E">
        <w:rPr>
          <w:rFonts w:ascii="Times New Roman" w:hAnsi="Times New Roman" w:cs="Times New Roman"/>
          <w:sz w:val="28"/>
          <w:szCs w:val="28"/>
        </w:rPr>
        <w:t>:</w:t>
      </w:r>
    </w:p>
    <w:p w:rsidR="000C37BD" w:rsidRPr="00254A8E" w:rsidRDefault="000C37BD" w:rsidP="000C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8E">
        <w:rPr>
          <w:rFonts w:ascii="Times New Roman" w:hAnsi="Times New Roman" w:cs="Times New Roman"/>
          <w:sz w:val="28"/>
          <w:szCs w:val="28"/>
        </w:rPr>
        <w:t>по земельному нало</w:t>
      </w:r>
      <w:r w:rsidR="00820374">
        <w:rPr>
          <w:rFonts w:ascii="Times New Roman" w:hAnsi="Times New Roman" w:cs="Times New Roman"/>
          <w:sz w:val="28"/>
          <w:szCs w:val="28"/>
        </w:rPr>
        <w:t xml:space="preserve">гу </w:t>
      </w:r>
      <w:r w:rsidRPr="00254A8E">
        <w:rPr>
          <w:rFonts w:ascii="Times New Roman" w:hAnsi="Times New Roman" w:cs="Times New Roman"/>
          <w:sz w:val="28"/>
          <w:szCs w:val="28"/>
        </w:rPr>
        <w:t>предусмотрено освобождение от уплаты налога;</w:t>
      </w:r>
    </w:p>
    <w:p w:rsidR="000C37BD" w:rsidRPr="00254A8E" w:rsidRDefault="000C37BD" w:rsidP="000C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8E">
        <w:rPr>
          <w:rFonts w:ascii="Times New Roman" w:hAnsi="Times New Roman" w:cs="Times New Roman"/>
          <w:sz w:val="28"/>
          <w:szCs w:val="28"/>
        </w:rPr>
        <w:t>по аренде муниципального (государственного) имущества – применяется пониженный коэффициент в размере 0,01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7BD" w:rsidRPr="00EF7C51" w:rsidRDefault="000C37BD" w:rsidP="000C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C51">
        <w:rPr>
          <w:rFonts w:ascii="Times New Roman" w:hAnsi="Times New Roman" w:cs="Times New Roman"/>
          <w:sz w:val="28"/>
          <w:szCs w:val="28"/>
        </w:rPr>
        <w:t xml:space="preserve">при содействии органов служб занятости организовано </w:t>
      </w:r>
      <w:r w:rsidRPr="00EF7C5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информирование о создании новых рабочих мест на предприятиях – резидентах ТОСЭР «Нефтекамск», а также консультации, подбор персонала и другая практическая помощь;</w:t>
      </w:r>
    </w:p>
    <w:p w:rsidR="000C37BD" w:rsidRPr="00EF7C51" w:rsidRDefault="000C37BD" w:rsidP="000C37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5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20374">
        <w:rPr>
          <w:rFonts w:ascii="Times New Roman" w:hAnsi="Times New Roman" w:cs="Times New Roman"/>
          <w:sz w:val="28"/>
          <w:szCs w:val="28"/>
          <w:shd w:val="clear" w:color="auto" w:fill="FFFFFF"/>
        </w:rPr>
        <w:t>жемесячно</w:t>
      </w:r>
      <w:r w:rsidRPr="00EF7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встречи с молодыми предпринимателями </w:t>
      </w:r>
      <w:r w:rsidR="00903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EF7C51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«Бизнес Клуба» и «</w:t>
      </w:r>
      <w:r w:rsidR="00023E9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молодого предпринимателя»;</w:t>
      </w:r>
    </w:p>
    <w:p w:rsidR="0030693D" w:rsidRDefault="00820374" w:rsidP="000C37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</w:t>
      </w:r>
      <w:r w:rsidR="00EF7C51" w:rsidRPr="00820374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деятельность на территории муниципального образования</w:t>
      </w:r>
      <w:r w:rsidR="00023E9F">
        <w:rPr>
          <w:rFonts w:ascii="Times New Roman" w:hAnsi="Times New Roman" w:cs="Times New Roman"/>
          <w:sz w:val="28"/>
          <w:szCs w:val="28"/>
        </w:rPr>
        <w:t>;</w:t>
      </w:r>
    </w:p>
    <w:p w:rsidR="00820374" w:rsidRDefault="00820374" w:rsidP="000C37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0374">
        <w:rPr>
          <w:rFonts w:ascii="Times New Roman" w:hAnsi="Times New Roman" w:cs="Times New Roman"/>
          <w:sz w:val="28"/>
          <w:szCs w:val="28"/>
        </w:rPr>
        <w:t>роведение совещаний с компаниями и предпринимателями городского округа город Нефтекамск в формате «Стратегический клуб развития бизнеса городского округа город Нефтекамск»</w:t>
      </w:r>
      <w:r w:rsidR="00023E9F">
        <w:rPr>
          <w:rFonts w:ascii="Times New Roman" w:hAnsi="Times New Roman" w:cs="Times New Roman"/>
          <w:sz w:val="28"/>
          <w:szCs w:val="28"/>
        </w:rPr>
        <w:t>;</w:t>
      </w:r>
    </w:p>
    <w:p w:rsidR="00023E9F" w:rsidRPr="00820374" w:rsidRDefault="00902E3C" w:rsidP="000C37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перспектив реализации инвестиционных проектов </w:t>
      </w:r>
      <w:r w:rsidR="00903E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 заседании Инвестиционного комитета в формате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03E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под председательством Главы РБ </w:t>
      </w:r>
      <w:r w:rsidR="00903EC9">
        <w:rPr>
          <w:rFonts w:ascii="Times New Roman" w:hAnsi="Times New Roman" w:cs="Times New Roman"/>
          <w:sz w:val="28"/>
          <w:szCs w:val="28"/>
        </w:rPr>
        <w:t xml:space="preserve">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Хабиров</w:t>
      </w:r>
      <w:r w:rsidR="00903EC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EC9">
        <w:rPr>
          <w:rFonts w:ascii="Times New Roman" w:hAnsi="Times New Roman" w:cs="Times New Roman"/>
          <w:sz w:val="28"/>
          <w:szCs w:val="28"/>
        </w:rPr>
        <w:t>б</w:t>
      </w:r>
      <w:r w:rsidR="004E77FA">
        <w:rPr>
          <w:rFonts w:ascii="Times New Roman" w:hAnsi="Times New Roman" w:cs="Times New Roman"/>
          <w:sz w:val="28"/>
          <w:szCs w:val="28"/>
        </w:rPr>
        <w:t>ыли рассмотрены проект</w:t>
      </w:r>
      <w:proofErr w:type="gramStart"/>
      <w:r w:rsidR="004E77FA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4E77FA">
        <w:rPr>
          <w:rFonts w:ascii="Times New Roman" w:hAnsi="Times New Roman" w:cs="Times New Roman"/>
          <w:sz w:val="28"/>
          <w:szCs w:val="28"/>
        </w:rPr>
        <w:t xml:space="preserve"> «НКМЗ-СТ», «</w:t>
      </w:r>
      <w:proofErr w:type="spellStart"/>
      <w:r w:rsidR="004E77FA">
        <w:rPr>
          <w:rFonts w:ascii="Times New Roman" w:hAnsi="Times New Roman" w:cs="Times New Roman"/>
          <w:sz w:val="28"/>
          <w:szCs w:val="28"/>
        </w:rPr>
        <w:t>Алтын+</w:t>
      </w:r>
      <w:proofErr w:type="spellEnd"/>
      <w:r w:rsidR="004E77F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E77FA">
        <w:rPr>
          <w:rFonts w:ascii="Times New Roman" w:hAnsi="Times New Roman" w:cs="Times New Roman"/>
          <w:sz w:val="28"/>
          <w:szCs w:val="28"/>
        </w:rPr>
        <w:t>Ингфут</w:t>
      </w:r>
      <w:proofErr w:type="spellEnd"/>
      <w:r w:rsidR="004E77FA">
        <w:rPr>
          <w:rFonts w:ascii="Times New Roman" w:hAnsi="Times New Roman" w:cs="Times New Roman"/>
          <w:sz w:val="28"/>
          <w:szCs w:val="28"/>
        </w:rPr>
        <w:t>».</w:t>
      </w:r>
    </w:p>
    <w:p w:rsidR="00820374" w:rsidRDefault="00820374" w:rsidP="000C37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0374">
        <w:rPr>
          <w:rFonts w:ascii="Times New Roman" w:hAnsi="Times New Roman" w:cs="Times New Roman"/>
          <w:sz w:val="28"/>
          <w:szCs w:val="28"/>
        </w:rPr>
        <w:t>нформирование о возможностях и преимуществах ТОС</w:t>
      </w:r>
      <w:r w:rsidR="00023E9F">
        <w:rPr>
          <w:rFonts w:ascii="Times New Roman" w:hAnsi="Times New Roman" w:cs="Times New Roman"/>
          <w:sz w:val="28"/>
          <w:szCs w:val="28"/>
        </w:rPr>
        <w:t>ЭР посредством социальных</w:t>
      </w:r>
      <w:r w:rsidR="004E77FA">
        <w:rPr>
          <w:rFonts w:ascii="Times New Roman" w:hAnsi="Times New Roman" w:cs="Times New Roman"/>
          <w:sz w:val="28"/>
          <w:szCs w:val="28"/>
        </w:rPr>
        <w:t xml:space="preserve"> сетей и </w:t>
      </w:r>
      <w:proofErr w:type="spellStart"/>
      <w:r w:rsidR="004E77FA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="004E77FA">
        <w:rPr>
          <w:rFonts w:ascii="Times New Roman" w:hAnsi="Times New Roman" w:cs="Times New Roman"/>
          <w:sz w:val="28"/>
          <w:szCs w:val="28"/>
        </w:rPr>
        <w:t xml:space="preserve"> рекламы;</w:t>
      </w:r>
    </w:p>
    <w:p w:rsidR="004E77FA" w:rsidRDefault="004E77FA" w:rsidP="000C37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участие в международных, российских и региональных выставках промышленных предприятий России и зарубежных стран</w:t>
      </w:r>
      <w:r w:rsidR="00903EC9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4E77FA" w:rsidRPr="00820374" w:rsidRDefault="004E77FA" w:rsidP="000C37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организаций по отраслям и рассылка соответствующих коммерческих предложений. В 2020 году направлено более 50 предложений.</w:t>
      </w:r>
    </w:p>
    <w:p w:rsidR="000C37BD" w:rsidRPr="00F33AB7" w:rsidRDefault="000C37BD" w:rsidP="000C37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AB7">
        <w:rPr>
          <w:rFonts w:ascii="Times New Roman" w:hAnsi="Times New Roman" w:cs="Times New Roman"/>
          <w:sz w:val="28"/>
          <w:szCs w:val="28"/>
        </w:rPr>
        <w:t xml:space="preserve">Инвестиционную привлекательность ТОСЭР </w:t>
      </w:r>
      <w:r>
        <w:rPr>
          <w:rFonts w:ascii="Times New Roman" w:hAnsi="Times New Roman" w:cs="Times New Roman"/>
          <w:sz w:val="28"/>
          <w:szCs w:val="28"/>
        </w:rPr>
        <w:t xml:space="preserve">«Нефтекамск»  формируют </w:t>
      </w:r>
      <w:r w:rsidRPr="00903EC9">
        <w:rPr>
          <w:rFonts w:ascii="Times New Roman" w:hAnsi="Times New Roman" w:cs="Times New Roman"/>
          <w:sz w:val="28"/>
          <w:szCs w:val="28"/>
        </w:rPr>
        <w:t>индустриальные парки.</w:t>
      </w:r>
      <w:r>
        <w:rPr>
          <w:rFonts w:ascii="Times New Roman" w:hAnsi="Times New Roman" w:cs="Times New Roman"/>
          <w:sz w:val="28"/>
          <w:szCs w:val="28"/>
        </w:rPr>
        <w:t xml:space="preserve"> Два из них действующие, </w:t>
      </w:r>
      <w:r w:rsidR="00903E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третий – в перспективном плане.</w:t>
      </w:r>
    </w:p>
    <w:p w:rsidR="000C37BD" w:rsidRPr="00F33AB7" w:rsidRDefault="000C37BD" w:rsidP="000C37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AB7">
        <w:rPr>
          <w:rFonts w:ascii="Times New Roman" w:hAnsi="Times New Roman" w:cs="Times New Roman"/>
          <w:sz w:val="28"/>
          <w:szCs w:val="28"/>
        </w:rPr>
        <w:t>1.</w:t>
      </w:r>
      <w:r w:rsidR="00903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AB7">
        <w:rPr>
          <w:rFonts w:ascii="Times New Roman" w:hAnsi="Times New Roman" w:cs="Times New Roman"/>
          <w:sz w:val="28"/>
          <w:szCs w:val="28"/>
        </w:rPr>
        <w:t>Индустриальный парк «</w:t>
      </w:r>
      <w:proofErr w:type="spellStart"/>
      <w:r w:rsidRPr="00F33AB7">
        <w:rPr>
          <w:rFonts w:ascii="Times New Roman" w:hAnsi="Times New Roman" w:cs="Times New Roman"/>
          <w:sz w:val="28"/>
          <w:szCs w:val="28"/>
        </w:rPr>
        <w:t>БелКам</w:t>
      </w:r>
      <w:proofErr w:type="spellEnd"/>
      <w:r w:rsidRPr="00F33AB7">
        <w:rPr>
          <w:rFonts w:ascii="Times New Roman" w:hAnsi="Times New Roman" w:cs="Times New Roman"/>
          <w:sz w:val="28"/>
          <w:szCs w:val="28"/>
        </w:rPr>
        <w:t>» создан в 2019 году (инвестор</w:t>
      </w:r>
      <w:r w:rsidR="00903E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3AB7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F33AB7">
        <w:rPr>
          <w:rFonts w:ascii="Times New Roman" w:hAnsi="Times New Roman" w:cs="Times New Roman"/>
          <w:sz w:val="28"/>
          <w:szCs w:val="28"/>
        </w:rPr>
        <w:t>Искож</w:t>
      </w:r>
      <w:proofErr w:type="spellEnd"/>
      <w:r w:rsidRPr="00F33AB7">
        <w:rPr>
          <w:rFonts w:ascii="Times New Roman" w:hAnsi="Times New Roman" w:cs="Times New Roman"/>
          <w:sz w:val="28"/>
          <w:szCs w:val="28"/>
        </w:rPr>
        <w:t>», расположен в границах Искожа (здания трикотажной фабрики, ХПФ).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37BD" w:rsidRDefault="000C37BD" w:rsidP="000C37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AB7">
        <w:rPr>
          <w:rFonts w:ascii="Times New Roman" w:hAnsi="Times New Roman" w:cs="Times New Roman"/>
          <w:sz w:val="28"/>
          <w:szCs w:val="28"/>
        </w:rPr>
        <w:t>Общая площадь земельного участка – 624,7 тыс.кв.м</w:t>
      </w:r>
      <w:r w:rsidR="00820374">
        <w:rPr>
          <w:rFonts w:ascii="Times New Roman" w:hAnsi="Times New Roman" w:cs="Times New Roman"/>
          <w:sz w:val="28"/>
          <w:szCs w:val="28"/>
        </w:rPr>
        <w:t>.</w:t>
      </w:r>
      <w:r w:rsidRPr="00F33A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AB7">
        <w:rPr>
          <w:rFonts w:ascii="Times New Roman" w:hAnsi="Times New Roman" w:cs="Times New Roman"/>
          <w:sz w:val="28"/>
          <w:szCs w:val="28"/>
        </w:rPr>
        <w:t>из них под парк – 444,7 тыс.кв.м</w:t>
      </w:r>
      <w:r w:rsidR="00820374">
        <w:rPr>
          <w:rFonts w:ascii="Times New Roman" w:hAnsi="Times New Roman" w:cs="Times New Roman"/>
          <w:sz w:val="28"/>
          <w:szCs w:val="28"/>
        </w:rPr>
        <w:t>.</w:t>
      </w:r>
      <w:r w:rsidRPr="00F33A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AB7">
        <w:rPr>
          <w:rFonts w:ascii="Times New Roman" w:hAnsi="Times New Roman" w:cs="Times New Roman"/>
          <w:sz w:val="28"/>
          <w:szCs w:val="28"/>
        </w:rPr>
        <w:t>аренда холодных помещений от 50 рублей кв. м</w:t>
      </w:r>
      <w:r w:rsidR="00820374">
        <w:rPr>
          <w:rFonts w:ascii="Times New Roman" w:hAnsi="Times New Roman" w:cs="Times New Roman"/>
          <w:sz w:val="28"/>
          <w:szCs w:val="28"/>
        </w:rPr>
        <w:t>.</w:t>
      </w:r>
      <w:r w:rsidRPr="00F33AB7">
        <w:rPr>
          <w:rFonts w:ascii="Times New Roman" w:hAnsi="Times New Roman" w:cs="Times New Roman"/>
          <w:sz w:val="28"/>
          <w:szCs w:val="28"/>
        </w:rPr>
        <w:t>, теплых помещений 100-130 рублей кв. м.</w:t>
      </w:r>
    </w:p>
    <w:p w:rsidR="000C37BD" w:rsidRDefault="00820374" w:rsidP="000C37BD">
      <w:pPr>
        <w:pStyle w:val="a9"/>
        <w:spacing w:before="0" w:beforeAutospacing="0" w:after="0" w:afterAutospacing="0"/>
        <w:ind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2.</w:t>
      </w:r>
      <w:r w:rsidR="00903EC9">
        <w:rPr>
          <w:sz w:val="28"/>
          <w:szCs w:val="28"/>
        </w:rPr>
        <w:t xml:space="preserve"> </w:t>
      </w:r>
      <w:r>
        <w:rPr>
          <w:sz w:val="28"/>
          <w:szCs w:val="28"/>
        </w:rPr>
        <w:t>Индустриальный парк «Дело» создан в 2020 году</w:t>
      </w:r>
      <w:r w:rsidR="000C37BD">
        <w:rPr>
          <w:sz w:val="28"/>
          <w:szCs w:val="28"/>
        </w:rPr>
        <w:t xml:space="preserve">, площадь – </w:t>
      </w:r>
      <w:r w:rsidR="008F2864">
        <w:rPr>
          <w:sz w:val="28"/>
          <w:szCs w:val="28"/>
        </w:rPr>
        <w:t>1</w:t>
      </w:r>
      <w:r>
        <w:rPr>
          <w:sz w:val="28"/>
          <w:szCs w:val="28"/>
        </w:rPr>
        <w:t>3,7 Г</w:t>
      </w:r>
      <w:r w:rsidR="000C37BD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0C37BD">
        <w:rPr>
          <w:sz w:val="28"/>
          <w:szCs w:val="28"/>
        </w:rPr>
        <w:t xml:space="preserve">, </w:t>
      </w:r>
      <w:proofErr w:type="gramEnd"/>
      <w:r w:rsidR="000C37BD">
        <w:rPr>
          <w:sz w:val="28"/>
          <w:szCs w:val="28"/>
        </w:rPr>
        <w:t>управляющая компания  ООО «</w:t>
      </w:r>
      <w:proofErr w:type="spellStart"/>
      <w:r w:rsidR="000C37BD">
        <w:rPr>
          <w:sz w:val="28"/>
          <w:szCs w:val="28"/>
        </w:rPr>
        <w:t>Автопласт</w:t>
      </w:r>
      <w:proofErr w:type="spellEnd"/>
      <w:r w:rsidR="000C37BD">
        <w:rPr>
          <w:sz w:val="28"/>
          <w:szCs w:val="28"/>
        </w:rPr>
        <w:t>», с</w:t>
      </w:r>
      <w:r w:rsidR="000C37BD" w:rsidRPr="00854F54">
        <w:rPr>
          <w:rFonts w:eastAsiaTheme="minorEastAsia"/>
          <w:color w:val="000000" w:themeColor="text1"/>
          <w:kern w:val="24"/>
          <w:sz w:val="28"/>
          <w:szCs w:val="28"/>
        </w:rPr>
        <w:t>т</w:t>
      </w:r>
      <w:r w:rsidR="000C37BD">
        <w:rPr>
          <w:rFonts w:eastAsiaTheme="minorEastAsia"/>
          <w:color w:val="000000" w:themeColor="text1"/>
          <w:kern w:val="24"/>
          <w:sz w:val="28"/>
          <w:szCs w:val="28"/>
        </w:rPr>
        <w:t xml:space="preserve">атус </w:t>
      </w:r>
      <w:r w:rsidR="000C37BD" w:rsidRPr="00854F54">
        <w:rPr>
          <w:rFonts w:eastAsiaTheme="minorEastAsia"/>
          <w:color w:val="000000" w:themeColor="text1"/>
          <w:kern w:val="24"/>
          <w:sz w:val="28"/>
          <w:szCs w:val="28"/>
        </w:rPr>
        <w:t>действующий</w:t>
      </w:r>
      <w:r w:rsidR="000C37B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F20957" w:rsidRDefault="000C37BD" w:rsidP="00F209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3AB7">
        <w:rPr>
          <w:rFonts w:ascii="Times New Roman" w:hAnsi="Times New Roman" w:cs="Times New Roman"/>
          <w:sz w:val="28"/>
          <w:szCs w:val="28"/>
        </w:rPr>
        <w:t>.</w:t>
      </w:r>
      <w:r w:rsidR="00903EC9">
        <w:rPr>
          <w:rFonts w:ascii="Times New Roman" w:hAnsi="Times New Roman" w:cs="Times New Roman"/>
          <w:sz w:val="28"/>
          <w:szCs w:val="28"/>
        </w:rPr>
        <w:t xml:space="preserve"> </w:t>
      </w:r>
      <w:r w:rsidRPr="00F33AB7">
        <w:rPr>
          <w:rFonts w:ascii="Times New Roman" w:hAnsi="Times New Roman" w:cs="Times New Roman"/>
          <w:sz w:val="28"/>
          <w:szCs w:val="28"/>
        </w:rPr>
        <w:t>На площадке рядом с ПАО НЕФАЗ создается инду</w:t>
      </w:r>
      <w:r w:rsidR="00820374">
        <w:rPr>
          <w:rFonts w:ascii="Times New Roman" w:hAnsi="Times New Roman" w:cs="Times New Roman"/>
          <w:sz w:val="28"/>
          <w:szCs w:val="28"/>
        </w:rPr>
        <w:t xml:space="preserve">стриальный парк «Нефтекамский», </w:t>
      </w:r>
      <w:r w:rsidRPr="00F33AB7">
        <w:rPr>
          <w:rFonts w:ascii="Times New Roman" w:hAnsi="Times New Roman" w:cs="Times New Roman"/>
          <w:sz w:val="28"/>
          <w:szCs w:val="28"/>
        </w:rPr>
        <w:t>строительство которого ведет Корпорация развития Республики Башкортостан за счет федеральных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F54">
        <w:rPr>
          <w:rFonts w:ascii="Times New Roman" w:hAnsi="Times New Roman" w:cs="Times New Roman"/>
          <w:sz w:val="28"/>
          <w:szCs w:val="28"/>
        </w:rPr>
        <w:t>Для реализации проекта по парку «Нефтекамский» сформирован</w:t>
      </w:r>
      <w:r w:rsidR="00820374">
        <w:rPr>
          <w:rFonts w:ascii="Times New Roman" w:hAnsi="Times New Roman" w:cs="Times New Roman"/>
          <w:sz w:val="28"/>
          <w:szCs w:val="28"/>
        </w:rPr>
        <w:t xml:space="preserve"> земельный участок площадью 28 Г</w:t>
      </w:r>
      <w:r w:rsidRPr="00854F5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20374">
        <w:rPr>
          <w:rFonts w:ascii="Times New Roman" w:hAnsi="Times New Roman" w:cs="Times New Roman"/>
          <w:sz w:val="28"/>
          <w:szCs w:val="28"/>
        </w:rPr>
        <w:t>.</w:t>
      </w:r>
      <w:r w:rsidRPr="00854F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54F54">
        <w:rPr>
          <w:rFonts w:ascii="Times New Roman" w:hAnsi="Times New Roman" w:cs="Times New Roman"/>
          <w:sz w:val="28"/>
          <w:szCs w:val="28"/>
        </w:rPr>
        <w:t xml:space="preserve">собраны технические условия и параметры </w:t>
      </w:r>
      <w:r w:rsidR="00903E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54F54">
        <w:rPr>
          <w:rFonts w:ascii="Times New Roman" w:hAnsi="Times New Roman" w:cs="Times New Roman"/>
          <w:sz w:val="28"/>
          <w:szCs w:val="28"/>
        </w:rPr>
        <w:t>для проектирования здания; осуществляется поиск потенциальных резидентов индустриального парка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0374">
        <w:rPr>
          <w:rFonts w:ascii="Times New Roman" w:hAnsi="Times New Roman" w:cs="Times New Roman"/>
          <w:sz w:val="28"/>
          <w:szCs w:val="28"/>
        </w:rPr>
        <w:t xml:space="preserve"> В 2021 году планируется начало строительства по готовому проекту.</w:t>
      </w:r>
    </w:p>
    <w:p w:rsidR="00070010" w:rsidRDefault="0030693D" w:rsidP="003D4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20374">
        <w:rPr>
          <w:rFonts w:ascii="Times New Roman" w:hAnsi="Times New Roman" w:cs="Times New Roman"/>
          <w:sz w:val="28"/>
          <w:szCs w:val="28"/>
        </w:rPr>
        <w:t xml:space="preserve"> 2020</w:t>
      </w:r>
      <w:r w:rsidR="00A45BEF" w:rsidRPr="002F2DB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0010">
        <w:rPr>
          <w:rFonts w:ascii="Times New Roman" w:hAnsi="Times New Roman" w:cs="Times New Roman"/>
          <w:sz w:val="28"/>
          <w:szCs w:val="28"/>
        </w:rPr>
        <w:t xml:space="preserve"> резидентами ТОСЭР стали 7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010" w:rsidRPr="00F17668" w:rsidRDefault="00070010" w:rsidP="0007001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1)</w:t>
      </w:r>
      <w:r w:rsidR="006C7D4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>ООО «Вита Кардио»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 w:rsidRPr="00070010">
        <w:rPr>
          <w:rFonts w:ascii="Times New Roman" w:hAnsi="Times New Roman"/>
          <w:sz w:val="28"/>
          <w:szCs w:val="28"/>
          <w:lang w:val="be-BY"/>
        </w:rPr>
        <w:t xml:space="preserve">Создание центра реабилитации для лиц </w:t>
      </w:r>
      <w:r w:rsidR="00903EC9">
        <w:rPr>
          <w:rFonts w:ascii="Times New Roman" w:hAnsi="Times New Roman"/>
          <w:sz w:val="28"/>
          <w:szCs w:val="28"/>
          <w:lang w:val="be-BY"/>
        </w:rPr>
        <w:t xml:space="preserve">                      </w:t>
      </w:r>
      <w:r w:rsidRPr="00070010">
        <w:rPr>
          <w:rFonts w:ascii="Times New Roman" w:hAnsi="Times New Roman"/>
          <w:sz w:val="28"/>
          <w:szCs w:val="28"/>
          <w:lang w:val="be-BY"/>
        </w:rPr>
        <w:t>с ограниченными возможностями и отклонениями здоровья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; </w:t>
      </w:r>
    </w:p>
    <w:p w:rsidR="00070010" w:rsidRPr="00F17668" w:rsidRDefault="00070010" w:rsidP="0007001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2)</w:t>
      </w:r>
      <w:r w:rsidR="006C7D4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>ООО «Нефтекамский завод мобильных зданий»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 w:rsidRPr="00070010">
        <w:rPr>
          <w:rFonts w:ascii="Times New Roman" w:hAnsi="Times New Roman"/>
          <w:sz w:val="28"/>
          <w:szCs w:val="28"/>
          <w:lang w:val="be-BY"/>
        </w:rPr>
        <w:t>Расширение объема производства мобильных зданий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; </w:t>
      </w:r>
    </w:p>
    <w:p w:rsidR="00070010" w:rsidRPr="00F17668" w:rsidRDefault="00070010" w:rsidP="0007001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3)</w:t>
      </w:r>
      <w:r w:rsidR="006C7D4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>ООО «Метротест»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 w:rsidRPr="00070010">
        <w:rPr>
          <w:rFonts w:ascii="Times New Roman" w:hAnsi="Times New Roman"/>
          <w:sz w:val="28"/>
          <w:szCs w:val="28"/>
          <w:lang w:val="be-BY"/>
        </w:rPr>
        <w:t>Увеличение объемов производства испытательных машин</w:t>
      </w:r>
      <w:r w:rsidRPr="00F17668">
        <w:rPr>
          <w:rFonts w:ascii="Times New Roman" w:hAnsi="Times New Roman"/>
          <w:sz w:val="28"/>
          <w:szCs w:val="28"/>
          <w:lang w:val="be-BY"/>
        </w:rPr>
        <w:t>;</w:t>
      </w:r>
    </w:p>
    <w:p w:rsidR="00070010" w:rsidRPr="00F17668" w:rsidRDefault="00070010" w:rsidP="0007001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4)</w:t>
      </w:r>
      <w:r w:rsidR="006C7D4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17668">
        <w:rPr>
          <w:rFonts w:ascii="Times New Roman" w:hAnsi="Times New Roman"/>
          <w:sz w:val="28"/>
          <w:szCs w:val="28"/>
          <w:lang w:val="be-BY"/>
        </w:rPr>
        <w:t xml:space="preserve">ООО </w:t>
      </w:r>
      <w:r w:rsidRPr="00F17668">
        <w:rPr>
          <w:rFonts w:ascii="Times New Roman" w:hAnsi="Times New Roman"/>
          <w:sz w:val="28"/>
          <w:szCs w:val="28"/>
        </w:rPr>
        <w:t>«Нефтекамская мебельная компания»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70010">
        <w:rPr>
          <w:rFonts w:ascii="Times New Roman" w:hAnsi="Times New Roman"/>
          <w:sz w:val="28"/>
          <w:szCs w:val="28"/>
        </w:rPr>
        <w:t>Производство офисной мебели и мебели для образовательных учреждений</w:t>
      </w:r>
      <w:r w:rsidRPr="00F17668">
        <w:rPr>
          <w:rFonts w:ascii="Times New Roman" w:hAnsi="Times New Roman"/>
          <w:sz w:val="28"/>
          <w:szCs w:val="28"/>
        </w:rPr>
        <w:t>;</w:t>
      </w:r>
    </w:p>
    <w:p w:rsidR="00070010" w:rsidRDefault="00070010" w:rsidP="0007001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C7D4D">
        <w:rPr>
          <w:rFonts w:ascii="Times New Roman" w:hAnsi="Times New Roman"/>
          <w:sz w:val="28"/>
          <w:szCs w:val="28"/>
        </w:rPr>
        <w:t xml:space="preserve"> </w:t>
      </w:r>
      <w:r w:rsidRPr="00F17668">
        <w:rPr>
          <w:rFonts w:ascii="Times New Roman" w:hAnsi="Times New Roman"/>
          <w:sz w:val="28"/>
          <w:szCs w:val="28"/>
        </w:rPr>
        <w:t>ООО «Производственная компания Импульс»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70010">
        <w:rPr>
          <w:rFonts w:ascii="Times New Roman" w:hAnsi="Times New Roman"/>
          <w:sz w:val="28"/>
          <w:szCs w:val="28"/>
        </w:rPr>
        <w:t>Производство изделий из полимерных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070010" w:rsidRDefault="00070010" w:rsidP="0007001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6C7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Акополимер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 w:rsidRPr="00070010">
        <w:rPr>
          <w:rFonts w:ascii="Times New Roman" w:hAnsi="Times New Roman"/>
          <w:sz w:val="28"/>
          <w:szCs w:val="28"/>
        </w:rPr>
        <w:t xml:space="preserve">Организация производства декоративно-защитных составов, промышленных красок, клеев, </w:t>
      </w:r>
      <w:proofErr w:type="spellStart"/>
      <w:r w:rsidRPr="00070010">
        <w:rPr>
          <w:rFonts w:ascii="Times New Roman" w:hAnsi="Times New Roman"/>
          <w:sz w:val="28"/>
          <w:szCs w:val="28"/>
        </w:rPr>
        <w:t>герметиков</w:t>
      </w:r>
      <w:proofErr w:type="spellEnd"/>
      <w:r w:rsidRPr="000700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0010">
        <w:rPr>
          <w:rFonts w:ascii="Times New Roman" w:hAnsi="Times New Roman"/>
          <w:sz w:val="28"/>
          <w:szCs w:val="28"/>
        </w:rPr>
        <w:t>колеровочных</w:t>
      </w:r>
      <w:proofErr w:type="spellEnd"/>
      <w:r w:rsidRPr="00070010">
        <w:rPr>
          <w:rFonts w:ascii="Times New Roman" w:hAnsi="Times New Roman"/>
          <w:sz w:val="28"/>
          <w:szCs w:val="28"/>
        </w:rPr>
        <w:t xml:space="preserve"> паст, </w:t>
      </w:r>
      <w:proofErr w:type="spellStart"/>
      <w:r w:rsidRPr="00070010">
        <w:rPr>
          <w:rFonts w:ascii="Times New Roman" w:hAnsi="Times New Roman"/>
          <w:sz w:val="28"/>
          <w:szCs w:val="28"/>
        </w:rPr>
        <w:t>аппретированнных</w:t>
      </w:r>
      <w:proofErr w:type="spellEnd"/>
      <w:r w:rsidRPr="00070010">
        <w:rPr>
          <w:rFonts w:ascii="Times New Roman" w:hAnsi="Times New Roman"/>
          <w:sz w:val="28"/>
          <w:szCs w:val="28"/>
        </w:rPr>
        <w:t xml:space="preserve"> органических и неорганических наполнителей</w:t>
      </w:r>
      <w:r>
        <w:rPr>
          <w:rFonts w:ascii="Times New Roman" w:hAnsi="Times New Roman"/>
          <w:sz w:val="28"/>
          <w:szCs w:val="28"/>
        </w:rPr>
        <w:t>;</w:t>
      </w:r>
    </w:p>
    <w:p w:rsidR="00070010" w:rsidRPr="00070010" w:rsidRDefault="00070010" w:rsidP="0007001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6C7D4D">
        <w:rPr>
          <w:rFonts w:ascii="Times New Roman" w:hAnsi="Times New Roman"/>
          <w:sz w:val="28"/>
          <w:szCs w:val="28"/>
        </w:rPr>
        <w:t xml:space="preserve"> </w:t>
      </w:r>
      <w:r w:rsidRPr="00B50F9D">
        <w:rPr>
          <w:rFonts w:ascii="Times New Roman" w:hAnsi="Times New Roman"/>
          <w:sz w:val="28"/>
          <w:szCs w:val="28"/>
        </w:rPr>
        <w:t>ООО «Медика плю</w:t>
      </w:r>
      <w:r>
        <w:rPr>
          <w:rFonts w:ascii="Times New Roman" w:hAnsi="Times New Roman"/>
          <w:sz w:val="28"/>
          <w:szCs w:val="28"/>
        </w:rPr>
        <w:t xml:space="preserve">с» - </w:t>
      </w:r>
      <w:r w:rsidRPr="00070010">
        <w:rPr>
          <w:rFonts w:ascii="Times New Roman" w:hAnsi="Times New Roman"/>
          <w:sz w:val="28"/>
          <w:szCs w:val="28"/>
        </w:rPr>
        <w:t>Создание высокотехнологичного операционного центра (центра малоинвазивной хирургии) с отделениями диагностики и реабилитации</w:t>
      </w:r>
      <w:r w:rsidRPr="00B50F9D">
        <w:rPr>
          <w:rFonts w:ascii="Times New Roman" w:hAnsi="Times New Roman"/>
          <w:sz w:val="28"/>
          <w:szCs w:val="28"/>
        </w:rPr>
        <w:t>.</w:t>
      </w:r>
      <w:r w:rsidRPr="00F17668">
        <w:rPr>
          <w:rFonts w:ascii="Times New Roman" w:hAnsi="Times New Roman"/>
          <w:sz w:val="28"/>
          <w:szCs w:val="28"/>
        </w:rPr>
        <w:t xml:space="preserve"> </w:t>
      </w:r>
    </w:p>
    <w:p w:rsidR="006C7D4D" w:rsidRDefault="006C7D4D" w:rsidP="006C7D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FD04C2" w:rsidRPr="00F44DD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требуется создать не менее 344</w:t>
      </w:r>
      <w:r w:rsidR="00FD04C2" w:rsidRPr="00F4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мест и инвестировать 534 млн. рублей</w:t>
      </w:r>
      <w:r w:rsidR="00FD04C2" w:rsidRPr="00F44DD7">
        <w:rPr>
          <w:rFonts w:ascii="Times New Roman" w:hAnsi="Times New Roman" w:cs="Times New Roman"/>
          <w:sz w:val="28"/>
          <w:szCs w:val="28"/>
        </w:rPr>
        <w:t xml:space="preserve"> (в соответствии с бизнес-планом</w:t>
      </w:r>
      <w:r w:rsidR="00D55B35">
        <w:rPr>
          <w:rFonts w:ascii="Times New Roman" w:hAnsi="Times New Roman" w:cs="Times New Roman"/>
          <w:sz w:val="28"/>
          <w:szCs w:val="28"/>
        </w:rPr>
        <w:t>, нарастающим итогом</w:t>
      </w:r>
      <w:r w:rsidR="00FD04C2" w:rsidRPr="00F44DD7">
        <w:rPr>
          <w:rFonts w:ascii="Times New Roman" w:hAnsi="Times New Roman" w:cs="Times New Roman"/>
          <w:sz w:val="28"/>
          <w:szCs w:val="28"/>
        </w:rPr>
        <w:t>).</w:t>
      </w:r>
    </w:p>
    <w:p w:rsidR="006C7D4D" w:rsidRDefault="00F44DD7" w:rsidP="006C7D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целевых показателей работа по привлечению инвесторов и потенциальных резидентов ТОСЭР продолжается, о чем свидетельствуют следующие данные.</w:t>
      </w:r>
    </w:p>
    <w:p w:rsidR="006C7D4D" w:rsidRDefault="00F44DD7" w:rsidP="006C7D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0C">
        <w:rPr>
          <w:rFonts w:ascii="Times New Roman" w:hAnsi="Times New Roman" w:cs="Times New Roman"/>
          <w:sz w:val="28"/>
          <w:szCs w:val="28"/>
        </w:rPr>
        <w:t>Имеются намерения стать</w:t>
      </w:r>
      <w:r>
        <w:rPr>
          <w:rFonts w:ascii="Times New Roman" w:hAnsi="Times New Roman" w:cs="Times New Roman"/>
          <w:sz w:val="28"/>
          <w:szCs w:val="28"/>
        </w:rPr>
        <w:t xml:space="preserve"> рез</w:t>
      </w:r>
      <w:r w:rsidR="00D55B35">
        <w:rPr>
          <w:rFonts w:ascii="Times New Roman" w:hAnsi="Times New Roman" w:cs="Times New Roman"/>
          <w:sz w:val="28"/>
          <w:szCs w:val="28"/>
        </w:rPr>
        <w:t>идентами ТОСЭР «Нефтекамск» у 13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по таким </w:t>
      </w:r>
      <w:r w:rsidRPr="006C7D4D">
        <w:rPr>
          <w:rFonts w:ascii="Times New Roman" w:hAnsi="Times New Roman" w:cs="Times New Roman"/>
          <w:sz w:val="28"/>
          <w:szCs w:val="28"/>
        </w:rPr>
        <w:t xml:space="preserve">видам деятельности, как </w:t>
      </w:r>
      <w:r w:rsidR="006C7D4D" w:rsidRPr="006C7D4D">
        <w:rPr>
          <w:rFonts w:ascii="Times New Roman" w:hAnsi="Times New Roman" w:cs="Times New Roman"/>
          <w:sz w:val="28"/>
          <w:szCs w:val="28"/>
        </w:rPr>
        <w:t>разработка и производство компрессорных установок, производство опор освещения</w:t>
      </w:r>
      <w:r w:rsidRPr="006C7D4D">
        <w:rPr>
          <w:rFonts w:ascii="Times New Roman" w:hAnsi="Times New Roman" w:cs="Times New Roman"/>
          <w:sz w:val="28"/>
          <w:szCs w:val="28"/>
        </w:rPr>
        <w:t xml:space="preserve">, </w:t>
      </w:r>
      <w:r w:rsidR="004654C4" w:rsidRPr="006C7D4D">
        <w:rPr>
          <w:rFonts w:ascii="Times New Roman" w:hAnsi="Times New Roman" w:cs="Times New Roman"/>
          <w:sz w:val="28"/>
          <w:szCs w:val="28"/>
        </w:rPr>
        <w:t>организация</w:t>
      </w:r>
      <w:r w:rsidR="004654C4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4C4">
        <w:rPr>
          <w:rFonts w:ascii="Times New Roman" w:hAnsi="Times New Roman" w:cs="Times New Roman"/>
          <w:sz w:val="28"/>
          <w:szCs w:val="28"/>
        </w:rPr>
        <w:t xml:space="preserve">умной </w:t>
      </w:r>
      <w:r>
        <w:rPr>
          <w:rFonts w:ascii="Times New Roman" w:hAnsi="Times New Roman" w:cs="Times New Roman"/>
          <w:sz w:val="28"/>
          <w:szCs w:val="28"/>
        </w:rPr>
        <w:t>мебели</w:t>
      </w:r>
      <w:r w:rsidR="006C7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7D4D">
        <w:rPr>
          <w:rFonts w:ascii="Times New Roman" w:hAnsi="Times New Roman" w:cs="Times New Roman"/>
          <w:sz w:val="28"/>
          <w:szCs w:val="28"/>
        </w:rPr>
        <w:t>рыбопереработки</w:t>
      </w:r>
      <w:proofErr w:type="spellEnd"/>
      <w:r w:rsidR="006C7D4D">
        <w:rPr>
          <w:rFonts w:ascii="Times New Roman" w:hAnsi="Times New Roman" w:cs="Times New Roman"/>
          <w:sz w:val="28"/>
          <w:szCs w:val="28"/>
        </w:rPr>
        <w:t xml:space="preserve"> </w:t>
      </w:r>
      <w:r w:rsidR="004654C4">
        <w:rPr>
          <w:rFonts w:ascii="Times New Roman" w:hAnsi="Times New Roman" w:cs="Times New Roman"/>
          <w:sz w:val="28"/>
          <w:szCs w:val="28"/>
        </w:rPr>
        <w:t>и др.</w:t>
      </w:r>
    </w:p>
    <w:p w:rsidR="000D5744" w:rsidRPr="00F20957" w:rsidRDefault="004654C4" w:rsidP="00F209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указанных </w:t>
      </w:r>
      <w:r w:rsidR="006C7D4D">
        <w:rPr>
          <w:rFonts w:ascii="Times New Roman" w:hAnsi="Times New Roman" w:cs="Times New Roman"/>
          <w:sz w:val="28"/>
          <w:szCs w:val="28"/>
        </w:rPr>
        <w:t>п</w:t>
      </w:r>
      <w:r w:rsidR="006C2B2E">
        <w:rPr>
          <w:rFonts w:ascii="Times New Roman" w:hAnsi="Times New Roman" w:cs="Times New Roman"/>
          <w:sz w:val="28"/>
          <w:szCs w:val="28"/>
        </w:rPr>
        <w:t>роектов планируется создание 260</w:t>
      </w:r>
      <w:r w:rsidR="006C7D4D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957">
        <w:rPr>
          <w:rFonts w:ascii="Times New Roman" w:hAnsi="Times New Roman" w:cs="Times New Roman"/>
          <w:sz w:val="28"/>
          <w:szCs w:val="28"/>
        </w:rPr>
        <w:t xml:space="preserve">с общим объемом </w:t>
      </w:r>
      <w:r w:rsidR="00023E9F">
        <w:rPr>
          <w:rFonts w:ascii="Times New Roman" w:hAnsi="Times New Roman" w:cs="Times New Roman"/>
          <w:sz w:val="28"/>
          <w:szCs w:val="28"/>
        </w:rPr>
        <w:t>инвестиций 3</w:t>
      </w:r>
      <w:r w:rsidR="00D55B3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CC4B70" w:rsidRPr="004654C4" w:rsidRDefault="006C7D4D" w:rsidP="003D4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0C">
        <w:rPr>
          <w:rFonts w:ascii="Times New Roman" w:hAnsi="Times New Roman" w:cs="Times New Roman"/>
          <w:sz w:val="28"/>
          <w:szCs w:val="28"/>
        </w:rPr>
        <w:t>По итогам 2020</w:t>
      </w:r>
      <w:r w:rsidR="00B42D24" w:rsidRPr="00BF78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5602" w:rsidRPr="00BF780C">
        <w:rPr>
          <w:rFonts w:ascii="Times New Roman" w:hAnsi="Times New Roman" w:cs="Times New Roman"/>
          <w:sz w:val="28"/>
          <w:szCs w:val="28"/>
        </w:rPr>
        <w:t xml:space="preserve"> ТОСЭР «Нефтекамск»</w:t>
      </w:r>
      <w:r w:rsidR="00CC4B70" w:rsidRPr="00BF780C">
        <w:rPr>
          <w:rFonts w:ascii="Times New Roman" w:hAnsi="Times New Roman" w:cs="Times New Roman"/>
          <w:sz w:val="28"/>
          <w:szCs w:val="28"/>
        </w:rPr>
        <w:t xml:space="preserve"> </w:t>
      </w:r>
      <w:r w:rsidR="00AD5A67" w:rsidRPr="00BF780C">
        <w:rPr>
          <w:rFonts w:ascii="Times New Roman" w:hAnsi="Times New Roman" w:cs="Times New Roman"/>
          <w:sz w:val="28"/>
          <w:szCs w:val="28"/>
        </w:rPr>
        <w:t>достигнуты следующие</w:t>
      </w:r>
      <w:r w:rsidR="00AD5A67" w:rsidRPr="004654C4">
        <w:rPr>
          <w:rFonts w:ascii="Times New Roman" w:hAnsi="Times New Roman" w:cs="Times New Roman"/>
          <w:sz w:val="28"/>
          <w:szCs w:val="28"/>
        </w:rPr>
        <w:t xml:space="preserve"> целевые показатели:</w:t>
      </w:r>
    </w:p>
    <w:p w:rsidR="002E696F" w:rsidRPr="004654C4" w:rsidRDefault="00227FED" w:rsidP="003D4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C4">
        <w:rPr>
          <w:rFonts w:ascii="Times New Roman" w:hAnsi="Times New Roman" w:cs="Times New Roman"/>
          <w:sz w:val="28"/>
          <w:szCs w:val="28"/>
        </w:rPr>
        <w:t>создано</w:t>
      </w:r>
      <w:r w:rsidR="00FC5602" w:rsidRPr="004654C4">
        <w:rPr>
          <w:rFonts w:ascii="Times New Roman" w:hAnsi="Times New Roman" w:cs="Times New Roman"/>
          <w:sz w:val="28"/>
          <w:szCs w:val="28"/>
        </w:rPr>
        <w:t xml:space="preserve"> </w:t>
      </w:r>
      <w:r w:rsidR="007B62C4">
        <w:rPr>
          <w:rFonts w:ascii="Times New Roman" w:hAnsi="Times New Roman" w:cs="Times New Roman"/>
          <w:sz w:val="28"/>
          <w:szCs w:val="28"/>
        </w:rPr>
        <w:t>555</w:t>
      </w:r>
      <w:r w:rsidR="00AD5A67" w:rsidRPr="004654C4">
        <w:rPr>
          <w:rFonts w:ascii="Times New Roman" w:hAnsi="Times New Roman" w:cs="Times New Roman"/>
          <w:sz w:val="28"/>
          <w:szCs w:val="28"/>
        </w:rPr>
        <w:t xml:space="preserve"> </w:t>
      </w:r>
      <w:r w:rsidRPr="004654C4">
        <w:rPr>
          <w:rFonts w:ascii="Times New Roman" w:hAnsi="Times New Roman" w:cs="Times New Roman"/>
          <w:sz w:val="28"/>
          <w:szCs w:val="28"/>
        </w:rPr>
        <w:t>рабочих мест</w:t>
      </w:r>
      <w:r w:rsidR="00AD5A67" w:rsidRPr="004654C4">
        <w:rPr>
          <w:rFonts w:ascii="Times New Roman" w:hAnsi="Times New Roman" w:cs="Times New Roman"/>
          <w:sz w:val="28"/>
          <w:szCs w:val="28"/>
        </w:rPr>
        <w:t>а</w:t>
      </w:r>
      <w:r w:rsidR="00E72517" w:rsidRPr="004654C4">
        <w:rPr>
          <w:rFonts w:ascii="Times New Roman" w:hAnsi="Times New Roman" w:cs="Times New Roman"/>
          <w:sz w:val="28"/>
          <w:szCs w:val="28"/>
        </w:rPr>
        <w:t xml:space="preserve"> </w:t>
      </w:r>
      <w:r w:rsidR="007B62C4">
        <w:rPr>
          <w:rFonts w:ascii="Times New Roman" w:hAnsi="Times New Roman" w:cs="Times New Roman"/>
          <w:sz w:val="28"/>
          <w:szCs w:val="28"/>
        </w:rPr>
        <w:t>(план 112</w:t>
      </w:r>
      <w:r w:rsidR="00CE162E" w:rsidRPr="004654C4">
        <w:rPr>
          <w:rFonts w:ascii="Times New Roman" w:hAnsi="Times New Roman" w:cs="Times New Roman"/>
          <w:sz w:val="28"/>
          <w:szCs w:val="28"/>
        </w:rPr>
        <w:t xml:space="preserve"> рабочих мест)</w:t>
      </w:r>
      <w:r w:rsidR="00E653FE" w:rsidRPr="004654C4">
        <w:rPr>
          <w:rFonts w:ascii="Times New Roman" w:hAnsi="Times New Roman" w:cs="Times New Roman"/>
          <w:sz w:val="28"/>
          <w:szCs w:val="28"/>
        </w:rPr>
        <w:t>;</w:t>
      </w:r>
    </w:p>
    <w:p w:rsidR="002E696F" w:rsidRPr="004654C4" w:rsidRDefault="00227FED" w:rsidP="003D4EB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654C4">
        <w:rPr>
          <w:rFonts w:ascii="Times New Roman" w:hAnsi="Times New Roman" w:cs="Times New Roman"/>
          <w:sz w:val="28"/>
          <w:szCs w:val="28"/>
        </w:rPr>
        <w:t>инвести</w:t>
      </w:r>
      <w:r w:rsidR="002F27AF" w:rsidRPr="004654C4">
        <w:rPr>
          <w:rFonts w:ascii="Times New Roman" w:hAnsi="Times New Roman" w:cs="Times New Roman"/>
          <w:sz w:val="28"/>
          <w:szCs w:val="28"/>
        </w:rPr>
        <w:t xml:space="preserve">ровано </w:t>
      </w:r>
      <w:r w:rsidR="007B62C4">
        <w:rPr>
          <w:rFonts w:ascii="Times New Roman" w:hAnsi="Times New Roman" w:cs="Times New Roman"/>
          <w:sz w:val="28"/>
          <w:szCs w:val="28"/>
        </w:rPr>
        <w:t>54,56</w:t>
      </w:r>
      <w:r w:rsidRPr="004654C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442BA" w:rsidRPr="004654C4">
        <w:rPr>
          <w:rFonts w:ascii="Times New Roman" w:hAnsi="Times New Roman" w:cs="Times New Roman"/>
          <w:sz w:val="28"/>
          <w:szCs w:val="28"/>
        </w:rPr>
        <w:t xml:space="preserve"> </w:t>
      </w:r>
      <w:r w:rsidR="00F20957">
        <w:rPr>
          <w:rFonts w:ascii="Times New Roman" w:hAnsi="Times New Roman" w:cs="Times New Roman"/>
          <w:sz w:val="28"/>
          <w:szCs w:val="28"/>
        </w:rPr>
        <w:t>(план</w:t>
      </w:r>
      <w:r w:rsidR="00CE162E" w:rsidRPr="004654C4">
        <w:rPr>
          <w:rFonts w:ascii="Times New Roman" w:hAnsi="Times New Roman" w:cs="Times New Roman"/>
          <w:sz w:val="28"/>
          <w:szCs w:val="28"/>
        </w:rPr>
        <w:t xml:space="preserve"> </w:t>
      </w:r>
      <w:r w:rsidR="007B62C4">
        <w:rPr>
          <w:rFonts w:ascii="Times New Roman" w:hAnsi="Times New Roman" w:cs="Times New Roman"/>
          <w:sz w:val="28"/>
          <w:szCs w:val="28"/>
        </w:rPr>
        <w:t>176</w:t>
      </w:r>
      <w:r w:rsidR="00A02E59" w:rsidRPr="004654C4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F20957">
        <w:rPr>
          <w:rFonts w:ascii="Times New Roman" w:hAnsi="Times New Roman" w:cs="Times New Roman"/>
          <w:sz w:val="28"/>
          <w:szCs w:val="28"/>
        </w:rPr>
        <w:t>)</w:t>
      </w:r>
      <w:r w:rsidR="00F77E5D" w:rsidRPr="004654C4">
        <w:rPr>
          <w:sz w:val="28"/>
          <w:szCs w:val="28"/>
        </w:rPr>
        <w:t>;</w:t>
      </w:r>
    </w:p>
    <w:p w:rsidR="00BF4EDB" w:rsidRPr="00BF4EDB" w:rsidRDefault="002F27AF" w:rsidP="006C7D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C4">
        <w:rPr>
          <w:rFonts w:ascii="Times New Roman" w:hAnsi="Times New Roman" w:cs="Times New Roman"/>
          <w:sz w:val="28"/>
          <w:szCs w:val="28"/>
        </w:rPr>
        <w:t xml:space="preserve">получена </w:t>
      </w:r>
      <w:r w:rsidR="00227FED" w:rsidRPr="004654C4">
        <w:rPr>
          <w:rFonts w:ascii="Times New Roman" w:hAnsi="Times New Roman" w:cs="Times New Roman"/>
          <w:sz w:val="28"/>
          <w:szCs w:val="28"/>
        </w:rPr>
        <w:t>выручк</w:t>
      </w:r>
      <w:r w:rsidRPr="004654C4">
        <w:rPr>
          <w:rFonts w:ascii="Times New Roman" w:hAnsi="Times New Roman" w:cs="Times New Roman"/>
          <w:sz w:val="28"/>
          <w:szCs w:val="28"/>
        </w:rPr>
        <w:t>а</w:t>
      </w:r>
      <w:r w:rsidR="00227FED" w:rsidRPr="004654C4">
        <w:rPr>
          <w:rFonts w:ascii="Times New Roman" w:hAnsi="Times New Roman" w:cs="Times New Roman"/>
          <w:sz w:val="28"/>
          <w:szCs w:val="28"/>
        </w:rPr>
        <w:t xml:space="preserve"> от продажи товаров, выполнения работ, оказания услуг</w:t>
      </w:r>
      <w:r w:rsidR="00E72517" w:rsidRPr="004654C4">
        <w:rPr>
          <w:rFonts w:ascii="Times New Roman" w:hAnsi="Times New Roman" w:cs="Times New Roman"/>
          <w:sz w:val="28"/>
          <w:szCs w:val="28"/>
        </w:rPr>
        <w:t xml:space="preserve"> </w:t>
      </w:r>
      <w:r w:rsidR="00227FED" w:rsidRPr="004654C4">
        <w:rPr>
          <w:rFonts w:ascii="Times New Roman" w:hAnsi="Times New Roman" w:cs="Times New Roman"/>
          <w:sz w:val="28"/>
          <w:szCs w:val="28"/>
        </w:rPr>
        <w:t xml:space="preserve">за вычетом НДС </w:t>
      </w:r>
      <w:r w:rsidR="00FC5602" w:rsidRPr="004654C4">
        <w:rPr>
          <w:rFonts w:ascii="Times New Roman" w:hAnsi="Times New Roman" w:cs="Times New Roman"/>
          <w:sz w:val="28"/>
          <w:szCs w:val="28"/>
        </w:rPr>
        <w:t>–</w:t>
      </w:r>
      <w:r w:rsidR="00227FED" w:rsidRPr="004654C4">
        <w:rPr>
          <w:rFonts w:ascii="Times New Roman" w:hAnsi="Times New Roman" w:cs="Times New Roman"/>
          <w:sz w:val="28"/>
          <w:szCs w:val="28"/>
        </w:rPr>
        <w:t xml:space="preserve"> </w:t>
      </w:r>
      <w:r w:rsidR="007B62C4">
        <w:rPr>
          <w:rFonts w:ascii="Times New Roman" w:hAnsi="Times New Roman" w:cs="Times New Roman"/>
          <w:sz w:val="28"/>
          <w:szCs w:val="28"/>
        </w:rPr>
        <w:t>1612,4 (план - 835</w:t>
      </w:r>
      <w:r w:rsidR="00A02E59" w:rsidRPr="004654C4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A02E59" w:rsidRPr="004654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2E59" w:rsidRPr="004654C4">
        <w:rPr>
          <w:rFonts w:ascii="Times New Roman" w:hAnsi="Times New Roman" w:cs="Times New Roman"/>
          <w:sz w:val="28"/>
          <w:szCs w:val="28"/>
        </w:rPr>
        <w:t>ублей</w:t>
      </w:r>
      <w:r w:rsidR="007B62C4">
        <w:rPr>
          <w:rFonts w:ascii="Times New Roman" w:hAnsi="Times New Roman" w:cs="Times New Roman"/>
          <w:sz w:val="28"/>
          <w:szCs w:val="28"/>
        </w:rPr>
        <w:t>)</w:t>
      </w:r>
      <w:r w:rsidR="0049321F" w:rsidRPr="004654C4">
        <w:rPr>
          <w:rFonts w:ascii="Times New Roman" w:hAnsi="Times New Roman" w:cs="Times New Roman"/>
          <w:sz w:val="28"/>
          <w:szCs w:val="28"/>
        </w:rPr>
        <w:t>.</w:t>
      </w:r>
    </w:p>
    <w:p w:rsidR="00F20957" w:rsidRPr="001A0736" w:rsidRDefault="00F20957" w:rsidP="001A0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Плановый показатель по капитальным вложениям за 2020 год не был достигнут по причине того, что резиденты ООО НКМЗ-СТ и ООО ЗИК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Интеркуб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736">
        <w:rPr>
          <w:rFonts w:ascii="Times New Roman" w:hAnsi="Times New Roman" w:cs="Times New Roman"/>
          <w:color w:val="000000"/>
          <w:sz w:val="28"/>
          <w:szCs w:val="28"/>
        </w:rPr>
        <w:t>запланировали освоение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инвестиции</w:t>
      </w:r>
      <w:r w:rsidR="001A0736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2019 году,</w:t>
      </w:r>
      <w:r w:rsidR="001A0736">
        <w:rPr>
          <w:rFonts w:ascii="Times New Roman" w:hAnsi="Times New Roman" w:cs="Times New Roman"/>
          <w:color w:val="000000"/>
          <w:sz w:val="28"/>
          <w:szCs w:val="28"/>
        </w:rPr>
        <w:t xml:space="preserve"> при плановом значении в 71 млн. рублей, было выполнено 231 млн. рублей,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сказалась неблагоприятная экономическая обстановка в условиях пандемии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</w:t>
      </w:r>
    </w:p>
    <w:p w:rsidR="00A02E59" w:rsidRPr="00BF780C" w:rsidRDefault="00A02E59" w:rsidP="00F209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0C">
        <w:rPr>
          <w:rFonts w:ascii="Times New Roman" w:hAnsi="Times New Roman" w:cs="Times New Roman"/>
          <w:sz w:val="28"/>
          <w:szCs w:val="28"/>
        </w:rPr>
        <w:t>Прогноз показателей</w:t>
      </w:r>
      <w:r w:rsidR="00BF780C">
        <w:rPr>
          <w:rFonts w:ascii="Times New Roman" w:hAnsi="Times New Roman" w:cs="Times New Roman"/>
          <w:sz w:val="28"/>
          <w:szCs w:val="28"/>
        </w:rPr>
        <w:t>:</w:t>
      </w:r>
    </w:p>
    <w:p w:rsidR="004654C4" w:rsidRDefault="00A26AF4" w:rsidP="00D55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C4">
        <w:rPr>
          <w:rFonts w:ascii="Times New Roman" w:hAnsi="Times New Roman" w:cs="Times New Roman"/>
          <w:sz w:val="28"/>
          <w:szCs w:val="28"/>
        </w:rPr>
        <w:t xml:space="preserve">К 2028 году мы должны иметь </w:t>
      </w:r>
      <w:r w:rsidR="001326FA" w:rsidRPr="004654C4">
        <w:rPr>
          <w:rFonts w:ascii="Times New Roman" w:hAnsi="Times New Roman" w:cs="Times New Roman"/>
          <w:sz w:val="28"/>
          <w:szCs w:val="28"/>
        </w:rPr>
        <w:t xml:space="preserve">46 резидентов, которые инвестируют в нашу экономику 4 млрд. руб. и создадут 2000 </w:t>
      </w:r>
      <w:r w:rsidRPr="004654C4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326FA" w:rsidRPr="004654C4">
        <w:rPr>
          <w:rFonts w:ascii="Times New Roman" w:hAnsi="Times New Roman" w:cs="Times New Roman"/>
          <w:sz w:val="28"/>
          <w:szCs w:val="28"/>
        </w:rPr>
        <w:t>рабочих мест.</w:t>
      </w:r>
    </w:p>
    <w:sectPr w:rsidR="004654C4" w:rsidSect="00C9195A">
      <w:headerReference w:type="default" r:id="rId8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84" w:rsidRDefault="003E1084" w:rsidP="003E1084">
      <w:pPr>
        <w:spacing w:after="0" w:line="240" w:lineRule="auto"/>
      </w:pPr>
      <w:r>
        <w:separator/>
      </w:r>
    </w:p>
  </w:endnote>
  <w:endnote w:type="continuationSeparator" w:id="0">
    <w:p w:rsidR="003E1084" w:rsidRDefault="003E1084" w:rsidP="003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84" w:rsidRDefault="003E1084" w:rsidP="003E1084">
      <w:pPr>
        <w:spacing w:after="0" w:line="240" w:lineRule="auto"/>
      </w:pPr>
      <w:r>
        <w:separator/>
      </w:r>
    </w:p>
  </w:footnote>
  <w:footnote w:type="continuationSeparator" w:id="0">
    <w:p w:rsidR="003E1084" w:rsidRDefault="003E1084" w:rsidP="003E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4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1084" w:rsidRDefault="001E7469">
        <w:pPr>
          <w:pStyle w:val="ae"/>
          <w:jc w:val="center"/>
        </w:pPr>
        <w:r w:rsidRPr="003E1084">
          <w:rPr>
            <w:rFonts w:ascii="Times New Roman" w:hAnsi="Times New Roman" w:cs="Times New Roman"/>
          </w:rPr>
          <w:fldChar w:fldCharType="begin"/>
        </w:r>
        <w:r w:rsidR="003E1084" w:rsidRPr="003E1084">
          <w:rPr>
            <w:rFonts w:ascii="Times New Roman" w:hAnsi="Times New Roman" w:cs="Times New Roman"/>
          </w:rPr>
          <w:instrText xml:space="preserve"> PAGE   \* MERGEFORMAT </w:instrText>
        </w:r>
        <w:r w:rsidRPr="003E1084">
          <w:rPr>
            <w:rFonts w:ascii="Times New Roman" w:hAnsi="Times New Roman" w:cs="Times New Roman"/>
          </w:rPr>
          <w:fldChar w:fldCharType="separate"/>
        </w:r>
        <w:r w:rsidR="00C9195A">
          <w:rPr>
            <w:rFonts w:ascii="Times New Roman" w:hAnsi="Times New Roman" w:cs="Times New Roman"/>
            <w:noProof/>
          </w:rPr>
          <w:t>2</w:t>
        </w:r>
        <w:r w:rsidRPr="003E108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54A"/>
    <w:multiLevelType w:val="hybridMultilevel"/>
    <w:tmpl w:val="49C8E4A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3922C7"/>
    <w:multiLevelType w:val="hybridMultilevel"/>
    <w:tmpl w:val="CDCA3EDC"/>
    <w:lvl w:ilvl="0" w:tplc="550C376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2002377"/>
    <w:multiLevelType w:val="hybridMultilevel"/>
    <w:tmpl w:val="FF8E7CA0"/>
    <w:lvl w:ilvl="0" w:tplc="85A0BBCC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F7401"/>
    <w:multiLevelType w:val="hybridMultilevel"/>
    <w:tmpl w:val="54A80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D9F"/>
    <w:rsid w:val="000130F9"/>
    <w:rsid w:val="0002393B"/>
    <w:rsid w:val="00023E9F"/>
    <w:rsid w:val="000442BA"/>
    <w:rsid w:val="000617B2"/>
    <w:rsid w:val="00065F2B"/>
    <w:rsid w:val="00066D46"/>
    <w:rsid w:val="00070010"/>
    <w:rsid w:val="000C37BD"/>
    <w:rsid w:val="000C785C"/>
    <w:rsid w:val="000D5744"/>
    <w:rsid w:val="000E2834"/>
    <w:rsid w:val="000F4121"/>
    <w:rsid w:val="00103333"/>
    <w:rsid w:val="001061BF"/>
    <w:rsid w:val="00115B7C"/>
    <w:rsid w:val="001212AC"/>
    <w:rsid w:val="00125AE6"/>
    <w:rsid w:val="001326FA"/>
    <w:rsid w:val="0014200C"/>
    <w:rsid w:val="00145AF1"/>
    <w:rsid w:val="00152AC6"/>
    <w:rsid w:val="00156A4C"/>
    <w:rsid w:val="00162EDD"/>
    <w:rsid w:val="00171A85"/>
    <w:rsid w:val="001765F3"/>
    <w:rsid w:val="00176E98"/>
    <w:rsid w:val="00187D41"/>
    <w:rsid w:val="00187E19"/>
    <w:rsid w:val="001A0736"/>
    <w:rsid w:val="001A7C7C"/>
    <w:rsid w:val="001B6A47"/>
    <w:rsid w:val="001D0B82"/>
    <w:rsid w:val="001E56A5"/>
    <w:rsid w:val="001E7469"/>
    <w:rsid w:val="001F31D5"/>
    <w:rsid w:val="00217967"/>
    <w:rsid w:val="002233FE"/>
    <w:rsid w:val="0022558F"/>
    <w:rsid w:val="00227FED"/>
    <w:rsid w:val="002445A9"/>
    <w:rsid w:val="0025018F"/>
    <w:rsid w:val="00252737"/>
    <w:rsid w:val="00254281"/>
    <w:rsid w:val="00254A8E"/>
    <w:rsid w:val="00276FA4"/>
    <w:rsid w:val="002920BF"/>
    <w:rsid w:val="002B32ED"/>
    <w:rsid w:val="002C47C7"/>
    <w:rsid w:val="002C7C25"/>
    <w:rsid w:val="002D15F5"/>
    <w:rsid w:val="002D6F90"/>
    <w:rsid w:val="002E1A11"/>
    <w:rsid w:val="002E2F40"/>
    <w:rsid w:val="002E693E"/>
    <w:rsid w:val="002E696F"/>
    <w:rsid w:val="002F27AF"/>
    <w:rsid w:val="002F2DB4"/>
    <w:rsid w:val="0030693D"/>
    <w:rsid w:val="0033128B"/>
    <w:rsid w:val="003317B2"/>
    <w:rsid w:val="0033383C"/>
    <w:rsid w:val="00337D44"/>
    <w:rsid w:val="003652B4"/>
    <w:rsid w:val="0038020C"/>
    <w:rsid w:val="00382736"/>
    <w:rsid w:val="003843F7"/>
    <w:rsid w:val="00386030"/>
    <w:rsid w:val="003D1A9A"/>
    <w:rsid w:val="003D332C"/>
    <w:rsid w:val="003D4EB4"/>
    <w:rsid w:val="003D62F7"/>
    <w:rsid w:val="003E1084"/>
    <w:rsid w:val="00401C91"/>
    <w:rsid w:val="00453B38"/>
    <w:rsid w:val="004654C4"/>
    <w:rsid w:val="00483D92"/>
    <w:rsid w:val="00492FB7"/>
    <w:rsid w:val="0049321F"/>
    <w:rsid w:val="0049370D"/>
    <w:rsid w:val="004A50F7"/>
    <w:rsid w:val="004A5CE9"/>
    <w:rsid w:val="004A6389"/>
    <w:rsid w:val="004B22A8"/>
    <w:rsid w:val="004B32A2"/>
    <w:rsid w:val="004C3958"/>
    <w:rsid w:val="004D483B"/>
    <w:rsid w:val="004E77FA"/>
    <w:rsid w:val="004E7EBE"/>
    <w:rsid w:val="004F431C"/>
    <w:rsid w:val="00523B98"/>
    <w:rsid w:val="00560007"/>
    <w:rsid w:val="005D2080"/>
    <w:rsid w:val="005D470F"/>
    <w:rsid w:val="005E6C59"/>
    <w:rsid w:val="005F4D1F"/>
    <w:rsid w:val="005F5D73"/>
    <w:rsid w:val="00617215"/>
    <w:rsid w:val="00621401"/>
    <w:rsid w:val="006559D7"/>
    <w:rsid w:val="00662E04"/>
    <w:rsid w:val="006655E9"/>
    <w:rsid w:val="0068037C"/>
    <w:rsid w:val="00685D16"/>
    <w:rsid w:val="006A3C23"/>
    <w:rsid w:val="006B0E54"/>
    <w:rsid w:val="006C2B2E"/>
    <w:rsid w:val="006C7D4D"/>
    <w:rsid w:val="006D0E41"/>
    <w:rsid w:val="006D3FFD"/>
    <w:rsid w:val="006E0F3E"/>
    <w:rsid w:val="006F47E3"/>
    <w:rsid w:val="00704890"/>
    <w:rsid w:val="00720E42"/>
    <w:rsid w:val="00731210"/>
    <w:rsid w:val="00741891"/>
    <w:rsid w:val="00746AAF"/>
    <w:rsid w:val="00766C82"/>
    <w:rsid w:val="007865AE"/>
    <w:rsid w:val="007A549D"/>
    <w:rsid w:val="007A62C6"/>
    <w:rsid w:val="007B1F38"/>
    <w:rsid w:val="007B62C4"/>
    <w:rsid w:val="007B7A26"/>
    <w:rsid w:val="007C1B08"/>
    <w:rsid w:val="007D6E8E"/>
    <w:rsid w:val="007E01B9"/>
    <w:rsid w:val="007E479D"/>
    <w:rsid w:val="007E754D"/>
    <w:rsid w:val="00814968"/>
    <w:rsid w:val="00820374"/>
    <w:rsid w:val="00831598"/>
    <w:rsid w:val="0084625B"/>
    <w:rsid w:val="00847DDE"/>
    <w:rsid w:val="00854F54"/>
    <w:rsid w:val="00863EEA"/>
    <w:rsid w:val="0086646E"/>
    <w:rsid w:val="0086793B"/>
    <w:rsid w:val="00870738"/>
    <w:rsid w:val="00871643"/>
    <w:rsid w:val="00872CC4"/>
    <w:rsid w:val="00893DCF"/>
    <w:rsid w:val="00894902"/>
    <w:rsid w:val="008A6254"/>
    <w:rsid w:val="008C0B60"/>
    <w:rsid w:val="008C492A"/>
    <w:rsid w:val="008D4E87"/>
    <w:rsid w:val="008F2864"/>
    <w:rsid w:val="008F581B"/>
    <w:rsid w:val="00900BF9"/>
    <w:rsid w:val="00901C8F"/>
    <w:rsid w:val="00902E3C"/>
    <w:rsid w:val="00903EC9"/>
    <w:rsid w:val="0092731C"/>
    <w:rsid w:val="009626E8"/>
    <w:rsid w:val="009773D5"/>
    <w:rsid w:val="0098284A"/>
    <w:rsid w:val="00982F5B"/>
    <w:rsid w:val="00996A0B"/>
    <w:rsid w:val="009A1CAF"/>
    <w:rsid w:val="009A3049"/>
    <w:rsid w:val="009A6BDE"/>
    <w:rsid w:val="009C0742"/>
    <w:rsid w:val="009C1D82"/>
    <w:rsid w:val="009C2009"/>
    <w:rsid w:val="009C4D9F"/>
    <w:rsid w:val="00A02B8C"/>
    <w:rsid w:val="00A02E59"/>
    <w:rsid w:val="00A040D8"/>
    <w:rsid w:val="00A16781"/>
    <w:rsid w:val="00A26AF4"/>
    <w:rsid w:val="00A3040F"/>
    <w:rsid w:val="00A43289"/>
    <w:rsid w:val="00A45BEF"/>
    <w:rsid w:val="00A81A96"/>
    <w:rsid w:val="00A81F57"/>
    <w:rsid w:val="00A85539"/>
    <w:rsid w:val="00A86BA7"/>
    <w:rsid w:val="00A86DCE"/>
    <w:rsid w:val="00AA4FCA"/>
    <w:rsid w:val="00AB21EA"/>
    <w:rsid w:val="00AC686C"/>
    <w:rsid w:val="00AD36FD"/>
    <w:rsid w:val="00AD5A67"/>
    <w:rsid w:val="00B14A4C"/>
    <w:rsid w:val="00B27EC3"/>
    <w:rsid w:val="00B42D24"/>
    <w:rsid w:val="00B6560D"/>
    <w:rsid w:val="00B749E0"/>
    <w:rsid w:val="00B77445"/>
    <w:rsid w:val="00B80B19"/>
    <w:rsid w:val="00B91458"/>
    <w:rsid w:val="00B95525"/>
    <w:rsid w:val="00BB64EC"/>
    <w:rsid w:val="00BD770A"/>
    <w:rsid w:val="00BE3643"/>
    <w:rsid w:val="00BF2AEB"/>
    <w:rsid w:val="00BF4EDB"/>
    <w:rsid w:val="00BF780C"/>
    <w:rsid w:val="00C1390A"/>
    <w:rsid w:val="00C13F8F"/>
    <w:rsid w:val="00C146A5"/>
    <w:rsid w:val="00C3508F"/>
    <w:rsid w:val="00C744AE"/>
    <w:rsid w:val="00C74D1C"/>
    <w:rsid w:val="00C8398A"/>
    <w:rsid w:val="00C83C22"/>
    <w:rsid w:val="00C9195A"/>
    <w:rsid w:val="00CA694F"/>
    <w:rsid w:val="00CC4B70"/>
    <w:rsid w:val="00CE162E"/>
    <w:rsid w:val="00CF73D4"/>
    <w:rsid w:val="00D0325F"/>
    <w:rsid w:val="00D20A60"/>
    <w:rsid w:val="00D230DB"/>
    <w:rsid w:val="00D25EC5"/>
    <w:rsid w:val="00D55B35"/>
    <w:rsid w:val="00D62C26"/>
    <w:rsid w:val="00D6701E"/>
    <w:rsid w:val="00DB0444"/>
    <w:rsid w:val="00DC040F"/>
    <w:rsid w:val="00DC525F"/>
    <w:rsid w:val="00DD23E7"/>
    <w:rsid w:val="00DD7E9E"/>
    <w:rsid w:val="00DE2E84"/>
    <w:rsid w:val="00E13E40"/>
    <w:rsid w:val="00E268E9"/>
    <w:rsid w:val="00E30833"/>
    <w:rsid w:val="00E46B75"/>
    <w:rsid w:val="00E653FE"/>
    <w:rsid w:val="00E673EA"/>
    <w:rsid w:val="00E72517"/>
    <w:rsid w:val="00E75CFF"/>
    <w:rsid w:val="00E84008"/>
    <w:rsid w:val="00E84A88"/>
    <w:rsid w:val="00EA18E1"/>
    <w:rsid w:val="00EA26DC"/>
    <w:rsid w:val="00EF7C51"/>
    <w:rsid w:val="00F040A9"/>
    <w:rsid w:val="00F20882"/>
    <w:rsid w:val="00F20957"/>
    <w:rsid w:val="00F33AB7"/>
    <w:rsid w:val="00F44DD7"/>
    <w:rsid w:val="00F4621C"/>
    <w:rsid w:val="00F57433"/>
    <w:rsid w:val="00F701F9"/>
    <w:rsid w:val="00F77E5D"/>
    <w:rsid w:val="00F81D9D"/>
    <w:rsid w:val="00F821BE"/>
    <w:rsid w:val="00FA4CE6"/>
    <w:rsid w:val="00FC49F1"/>
    <w:rsid w:val="00FC5602"/>
    <w:rsid w:val="00FD04C2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6F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7C7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847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847DDE"/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rsid w:val="00847D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7DD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Основной текст1"/>
    <w:basedOn w:val="a"/>
    <w:link w:val="a8"/>
    <w:uiPriority w:val="99"/>
    <w:rsid w:val="0025428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8">
    <w:name w:val="Основной текст_"/>
    <w:link w:val="1"/>
    <w:locked/>
    <w:rsid w:val="00254281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uiPriority w:val="34"/>
    <w:locked/>
    <w:rsid w:val="00254281"/>
  </w:style>
  <w:style w:type="paragraph" w:customStyle="1" w:styleId="ConsPlusNormal">
    <w:name w:val="ConsPlusNormal"/>
    <w:rsid w:val="00D62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17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9552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1A11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C7D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8A6254"/>
    <w:pPr>
      <w:widowControl w:val="0"/>
      <w:shd w:val="clear" w:color="auto" w:fill="FFFFFF"/>
      <w:spacing w:before="360" w:after="60" w:line="0" w:lineRule="atLeast"/>
      <w:jc w:val="both"/>
    </w:pPr>
    <w:rPr>
      <w:rFonts w:eastAsiaTheme="minorHAnsi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3E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1084"/>
  </w:style>
  <w:style w:type="paragraph" w:styleId="af0">
    <w:name w:val="footer"/>
    <w:basedOn w:val="a"/>
    <w:link w:val="af1"/>
    <w:uiPriority w:val="99"/>
    <w:semiHidden/>
    <w:unhideWhenUsed/>
    <w:rsid w:val="003E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1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629D1-3429-4780-8531-06AFD886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20</cp:revision>
  <cp:lastPrinted>2021-02-25T04:34:00Z</cp:lastPrinted>
  <dcterms:created xsi:type="dcterms:W3CDTF">2020-03-11T13:14:00Z</dcterms:created>
  <dcterms:modified xsi:type="dcterms:W3CDTF">2021-02-25T04:35:00Z</dcterms:modified>
</cp:coreProperties>
</file>